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6AE" w:rsidRPr="009776AE" w:rsidRDefault="008A01DA" w:rsidP="009776AE">
      <w:pPr>
        <w:spacing w:after="0" w:line="240" w:lineRule="auto"/>
        <w:jc w:val="center"/>
        <w:rPr>
          <w:rFonts w:ascii="Arial" w:eastAsia="Calibri" w:hAnsi="Arial" w:cs="Arial"/>
          <w:b/>
          <w:sz w:val="20"/>
          <w:szCs w:val="20"/>
        </w:rPr>
      </w:pPr>
      <w:r>
        <w:rPr>
          <w:rFonts w:ascii="Arial" w:eastAsia="Calibri" w:hAnsi="Arial" w:cs="Arial"/>
          <w:b/>
          <w:sz w:val="20"/>
          <w:szCs w:val="20"/>
        </w:rPr>
        <w:t>ANEXO 2</w:t>
      </w:r>
    </w:p>
    <w:p w:rsidR="009776AE" w:rsidRPr="009776AE" w:rsidRDefault="009776AE" w:rsidP="009776AE">
      <w:pPr>
        <w:spacing w:after="0" w:line="240" w:lineRule="auto"/>
        <w:jc w:val="center"/>
        <w:rPr>
          <w:rFonts w:ascii="Arial" w:eastAsia="Calibri" w:hAnsi="Arial" w:cs="Arial"/>
          <w:b/>
          <w:sz w:val="20"/>
          <w:szCs w:val="20"/>
        </w:rPr>
      </w:pPr>
      <w:r w:rsidRPr="009776AE">
        <w:rPr>
          <w:rFonts w:ascii="Arial" w:eastAsia="Calibri" w:hAnsi="Arial" w:cs="Arial"/>
          <w:b/>
          <w:sz w:val="20"/>
          <w:szCs w:val="20"/>
        </w:rPr>
        <w:t xml:space="preserve">ANEXO TÉCNICO </w:t>
      </w:r>
    </w:p>
    <w:p w:rsidR="009776AE" w:rsidRPr="009776AE" w:rsidRDefault="00016297" w:rsidP="009776AE">
      <w:pPr>
        <w:spacing w:after="0" w:line="240" w:lineRule="auto"/>
        <w:jc w:val="center"/>
        <w:rPr>
          <w:rFonts w:ascii="Arial" w:eastAsia="Calibri" w:hAnsi="Arial" w:cs="Arial"/>
          <w:b/>
          <w:sz w:val="20"/>
          <w:szCs w:val="20"/>
        </w:rPr>
      </w:pPr>
      <w:r>
        <w:rPr>
          <w:rFonts w:ascii="Arial" w:eastAsia="Calibri" w:hAnsi="Arial" w:cs="Arial"/>
          <w:b/>
          <w:sz w:val="20"/>
          <w:szCs w:val="20"/>
        </w:rPr>
        <w:t>(</w:t>
      </w:r>
      <w:r w:rsidR="00C9222F" w:rsidRPr="009776AE">
        <w:rPr>
          <w:rFonts w:ascii="Arial" w:eastAsia="Calibri" w:hAnsi="Arial" w:cs="Arial"/>
          <w:b/>
          <w:sz w:val="20"/>
          <w:szCs w:val="20"/>
        </w:rPr>
        <w:t>4.18.3</w:t>
      </w:r>
      <w:r>
        <w:rPr>
          <w:rFonts w:ascii="Arial" w:eastAsia="Calibri" w:hAnsi="Arial" w:cs="Arial"/>
          <w:b/>
          <w:sz w:val="20"/>
          <w:szCs w:val="20"/>
        </w:rPr>
        <w:t xml:space="preserve"> de la</w:t>
      </w:r>
      <w:r w:rsidR="009776AE" w:rsidRPr="009776AE">
        <w:rPr>
          <w:rFonts w:ascii="Arial" w:eastAsia="Calibri" w:hAnsi="Arial" w:cs="Arial"/>
          <w:b/>
          <w:sz w:val="20"/>
          <w:szCs w:val="20"/>
        </w:rPr>
        <w:t xml:space="preserve">s POBALINES) </w:t>
      </w:r>
    </w:p>
    <w:p w:rsidR="009776AE" w:rsidRPr="009776AE" w:rsidRDefault="009776AE" w:rsidP="009776AE">
      <w:pPr>
        <w:spacing w:after="0" w:line="240" w:lineRule="auto"/>
        <w:jc w:val="center"/>
        <w:rPr>
          <w:rFonts w:ascii="Arial" w:eastAsia="Calibri" w:hAnsi="Arial" w:cs="Arial"/>
          <w:b/>
          <w:sz w:val="20"/>
          <w:szCs w:val="20"/>
        </w:rPr>
      </w:pPr>
    </w:p>
    <w:p w:rsidR="009776AE" w:rsidRPr="009776AE" w:rsidRDefault="009776AE" w:rsidP="009776AE">
      <w:pPr>
        <w:spacing w:after="0" w:line="240" w:lineRule="auto"/>
        <w:jc w:val="both"/>
        <w:rPr>
          <w:rFonts w:ascii="Arial" w:eastAsia="Calibri" w:hAnsi="Arial" w:cs="Arial"/>
          <w:b/>
          <w:sz w:val="20"/>
          <w:szCs w:val="20"/>
        </w:rPr>
      </w:pPr>
      <w:r w:rsidRPr="009776AE">
        <w:rPr>
          <w:rFonts w:ascii="Arial" w:eastAsia="Calibri" w:hAnsi="Arial" w:cs="Arial"/>
          <w:b/>
          <w:sz w:val="20"/>
          <w:szCs w:val="20"/>
        </w:rPr>
        <w:t xml:space="preserve">Información que de conformidad con los incisos del numeral </w:t>
      </w:r>
      <w:r w:rsidR="00C9222F">
        <w:rPr>
          <w:rFonts w:ascii="Arial" w:eastAsia="Calibri" w:hAnsi="Arial" w:cs="Arial"/>
          <w:b/>
          <w:sz w:val="20"/>
          <w:szCs w:val="20"/>
        </w:rPr>
        <w:t>antes descrito</w:t>
      </w:r>
      <w:r w:rsidRPr="009776AE">
        <w:rPr>
          <w:rFonts w:ascii="Arial" w:eastAsia="Calibri" w:hAnsi="Arial" w:cs="Arial"/>
          <w:b/>
          <w:sz w:val="20"/>
          <w:szCs w:val="20"/>
        </w:rPr>
        <w:t xml:space="preserve"> de las Políticas, Bases y Lineamientos en Materia de Adquisiciones, Arrendamientos y Prestación de Servicios del Instituto Mexicano del Seguro Social, deberá contener el presente documento:</w:t>
      </w:r>
    </w:p>
    <w:p w:rsidR="009776AE" w:rsidRPr="009776AE" w:rsidRDefault="009776AE" w:rsidP="009776AE">
      <w:pPr>
        <w:spacing w:after="0" w:line="240" w:lineRule="auto"/>
        <w:jc w:val="both"/>
        <w:rPr>
          <w:rFonts w:ascii="Arial" w:eastAsia="Calibri" w:hAnsi="Arial" w:cs="Arial"/>
          <w:b/>
          <w:sz w:val="20"/>
          <w:szCs w:val="20"/>
        </w:rPr>
      </w:pPr>
    </w:p>
    <w:p w:rsidR="009776AE" w:rsidRPr="009776AE" w:rsidRDefault="009776AE" w:rsidP="009776AE">
      <w:pPr>
        <w:numPr>
          <w:ilvl w:val="0"/>
          <w:numId w:val="1"/>
        </w:numPr>
        <w:spacing w:after="0" w:line="240" w:lineRule="auto"/>
        <w:contextualSpacing/>
        <w:jc w:val="both"/>
        <w:rPr>
          <w:rFonts w:ascii="Arial" w:eastAsia="Calibri" w:hAnsi="Arial" w:cs="Arial"/>
          <w:b/>
          <w:sz w:val="20"/>
          <w:szCs w:val="20"/>
          <w:lang w:val="x-none" w:eastAsia="es-ES"/>
        </w:rPr>
      </w:pPr>
      <w:r w:rsidRPr="009776AE">
        <w:rPr>
          <w:rFonts w:ascii="Arial" w:eastAsia="Calibri" w:hAnsi="Arial" w:cs="Arial"/>
          <w:b/>
          <w:sz w:val="20"/>
          <w:szCs w:val="20"/>
          <w:lang w:val="x-none" w:eastAsia="es-ES"/>
        </w:rPr>
        <w:t>Descripción amplia y detallada de los bienes</w:t>
      </w:r>
      <w:r w:rsidRPr="009776AE">
        <w:rPr>
          <w:rFonts w:ascii="Arial" w:eastAsia="Calibri" w:hAnsi="Arial" w:cs="Arial"/>
          <w:b/>
          <w:sz w:val="20"/>
          <w:szCs w:val="20"/>
          <w:lang w:eastAsia="es-ES"/>
        </w:rPr>
        <w:t>.</w:t>
      </w:r>
    </w:p>
    <w:p w:rsidR="009776AE" w:rsidRPr="009776AE" w:rsidRDefault="009776AE" w:rsidP="009776AE">
      <w:pPr>
        <w:spacing w:after="0" w:line="240" w:lineRule="auto"/>
        <w:jc w:val="both"/>
        <w:rPr>
          <w:rFonts w:ascii="Arial" w:eastAsia="Calibri" w:hAnsi="Arial" w:cs="Arial"/>
          <w:sz w:val="20"/>
          <w:szCs w:val="20"/>
        </w:rPr>
      </w:pPr>
    </w:p>
    <w:p w:rsidR="009776AE" w:rsidRDefault="001C03DE" w:rsidP="009776AE">
      <w:pPr>
        <w:spacing w:after="0" w:line="240" w:lineRule="auto"/>
        <w:jc w:val="both"/>
        <w:rPr>
          <w:rFonts w:ascii="Arial" w:eastAsia="Calibri" w:hAnsi="Arial" w:cs="Arial"/>
          <w:sz w:val="20"/>
          <w:szCs w:val="20"/>
          <w:lang w:val="es-ES"/>
        </w:rPr>
      </w:pPr>
      <w:r>
        <w:rPr>
          <w:rFonts w:ascii="Arial" w:eastAsia="Calibri" w:hAnsi="Arial" w:cs="Arial"/>
          <w:sz w:val="20"/>
          <w:szCs w:val="20"/>
        </w:rPr>
        <w:t>Corresponde a</w:t>
      </w:r>
      <w:r w:rsidR="009776AE" w:rsidRPr="009776AE">
        <w:rPr>
          <w:rFonts w:ascii="Arial" w:eastAsia="Calibri" w:hAnsi="Arial" w:cs="Arial"/>
          <w:sz w:val="20"/>
          <w:szCs w:val="20"/>
        </w:rPr>
        <w:t xml:space="preserve"> bien</w:t>
      </w:r>
      <w:r>
        <w:rPr>
          <w:rFonts w:ascii="Arial" w:eastAsia="Calibri" w:hAnsi="Arial" w:cs="Arial"/>
          <w:sz w:val="20"/>
          <w:szCs w:val="20"/>
        </w:rPr>
        <w:t>es</w:t>
      </w:r>
      <w:r w:rsidR="009776AE" w:rsidRPr="009776AE">
        <w:rPr>
          <w:rFonts w:ascii="Arial" w:eastAsia="Calibri" w:hAnsi="Arial" w:cs="Arial"/>
          <w:sz w:val="20"/>
          <w:szCs w:val="20"/>
        </w:rPr>
        <w:t xml:space="preserve"> terapéutico</w:t>
      </w:r>
      <w:r>
        <w:rPr>
          <w:rFonts w:ascii="Arial" w:eastAsia="Calibri" w:hAnsi="Arial" w:cs="Arial"/>
          <w:sz w:val="20"/>
          <w:szCs w:val="20"/>
        </w:rPr>
        <w:t>s</w:t>
      </w:r>
      <w:r w:rsidR="009776AE" w:rsidRPr="009776AE">
        <w:rPr>
          <w:rFonts w:ascii="Arial" w:eastAsia="Calibri" w:hAnsi="Arial" w:cs="Arial"/>
          <w:sz w:val="20"/>
          <w:szCs w:val="20"/>
        </w:rPr>
        <w:t xml:space="preserve">, del </w:t>
      </w:r>
      <w:r w:rsidR="009776AE" w:rsidRPr="001C03DE">
        <w:rPr>
          <w:rFonts w:ascii="Arial" w:eastAsia="Calibri" w:hAnsi="Arial" w:cs="Arial"/>
          <w:sz w:val="20"/>
          <w:szCs w:val="20"/>
        </w:rPr>
        <w:t xml:space="preserve">grupo </w:t>
      </w:r>
      <w:r w:rsidRPr="001C03DE">
        <w:rPr>
          <w:rFonts w:ascii="Arial" w:eastAsia="Calibri" w:hAnsi="Arial" w:cs="Arial"/>
          <w:sz w:val="20"/>
          <w:szCs w:val="20"/>
        </w:rPr>
        <w:t>010</w:t>
      </w:r>
      <w:r w:rsidR="009776AE" w:rsidRPr="001C03DE">
        <w:rPr>
          <w:rFonts w:ascii="Arial" w:eastAsia="Calibri" w:hAnsi="Arial" w:cs="Arial"/>
          <w:sz w:val="20"/>
          <w:szCs w:val="20"/>
        </w:rPr>
        <w:t xml:space="preserve"> Medicamentos</w:t>
      </w:r>
      <w:r w:rsidRPr="001C03DE">
        <w:rPr>
          <w:rFonts w:ascii="Arial" w:eastAsia="Calibri" w:hAnsi="Arial" w:cs="Arial"/>
          <w:sz w:val="20"/>
          <w:szCs w:val="20"/>
        </w:rPr>
        <w:t xml:space="preserve"> </w:t>
      </w:r>
      <w:r w:rsidR="009776AE" w:rsidRPr="001C03DE">
        <w:rPr>
          <w:rFonts w:ascii="Arial" w:eastAsia="Calibri" w:hAnsi="Arial" w:cs="Arial"/>
          <w:sz w:val="20"/>
          <w:szCs w:val="20"/>
          <w:lang w:val="es-ES"/>
        </w:rPr>
        <w:t>contenidos en el Cuadro Básico Institucional de Insumos para la Salud y en el Cuadro Básico de</w:t>
      </w:r>
      <w:r w:rsidR="00173B1B" w:rsidRPr="001C03DE">
        <w:rPr>
          <w:rFonts w:ascii="Arial" w:eastAsia="Calibri" w:hAnsi="Arial" w:cs="Arial"/>
          <w:sz w:val="20"/>
          <w:szCs w:val="20"/>
          <w:lang w:val="es-ES"/>
        </w:rPr>
        <w:t xml:space="preserve"> Medicamentos de</w:t>
      </w:r>
      <w:r w:rsidR="009776AE" w:rsidRPr="001C03DE">
        <w:rPr>
          <w:rFonts w:ascii="Arial" w:eastAsia="Calibri" w:hAnsi="Arial" w:cs="Arial"/>
          <w:sz w:val="20"/>
          <w:szCs w:val="20"/>
          <w:lang w:val="es-ES"/>
        </w:rPr>
        <w:t>l Instituto Mexicano del Seguro Social.</w:t>
      </w:r>
    </w:p>
    <w:p w:rsidR="00CB721F" w:rsidRDefault="00CB721F" w:rsidP="00CB721F">
      <w:pPr>
        <w:spacing w:after="0" w:line="240" w:lineRule="auto"/>
        <w:jc w:val="both"/>
        <w:rPr>
          <w:rFonts w:ascii="Arial" w:hAnsi="Arial" w:cs="Arial"/>
          <w:b/>
          <w:lang w:val="es-ES"/>
        </w:rPr>
      </w:pPr>
    </w:p>
    <w:tbl>
      <w:tblPr>
        <w:tblW w:w="10560" w:type="dxa"/>
        <w:jc w:val="center"/>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
        <w:gridCol w:w="426"/>
        <w:gridCol w:w="425"/>
        <w:gridCol w:w="425"/>
        <w:gridCol w:w="426"/>
        <w:gridCol w:w="3164"/>
        <w:gridCol w:w="426"/>
        <w:gridCol w:w="425"/>
        <w:gridCol w:w="425"/>
        <w:gridCol w:w="992"/>
        <w:gridCol w:w="1134"/>
        <w:gridCol w:w="993"/>
        <w:gridCol w:w="874"/>
      </w:tblGrid>
      <w:tr w:rsidR="00F6407B" w:rsidRPr="00E00A4A" w:rsidTr="00F6407B">
        <w:trPr>
          <w:trHeight w:val="660"/>
          <w:jc w:val="center"/>
        </w:trPr>
        <w:tc>
          <w:tcPr>
            <w:tcW w:w="425" w:type="dxa"/>
            <w:shd w:val="clear" w:color="auto" w:fill="0F243E" w:themeFill="text2" w:themeFillShade="80"/>
            <w:noWrap/>
            <w:vAlign w:val="center"/>
            <w:hideMark/>
          </w:tcPr>
          <w:p w:rsidR="00F6407B" w:rsidRPr="00E00A4A" w:rsidRDefault="00F6407B" w:rsidP="00364706">
            <w:pPr>
              <w:spacing w:after="0" w:line="240" w:lineRule="auto"/>
              <w:jc w:val="center"/>
              <w:rPr>
                <w:rFonts w:ascii="Calibri" w:eastAsia="Times New Roman" w:hAnsi="Calibri" w:cs="Times New Roman"/>
                <w:b/>
                <w:bCs/>
                <w:color w:val="FFFFFF"/>
                <w:sz w:val="10"/>
                <w:szCs w:val="10"/>
                <w:lang w:eastAsia="es-MX"/>
              </w:rPr>
            </w:pPr>
            <w:r w:rsidRPr="00E00A4A">
              <w:rPr>
                <w:rFonts w:ascii="Calibri" w:eastAsia="Times New Roman" w:hAnsi="Calibri" w:cs="Times New Roman"/>
                <w:b/>
                <w:bCs/>
                <w:color w:val="FFFFFF"/>
                <w:sz w:val="10"/>
                <w:szCs w:val="10"/>
                <w:lang w:eastAsia="es-MX"/>
              </w:rPr>
              <w:t>GPO</w:t>
            </w:r>
          </w:p>
        </w:tc>
        <w:tc>
          <w:tcPr>
            <w:tcW w:w="426" w:type="dxa"/>
            <w:shd w:val="clear" w:color="auto" w:fill="0F243E" w:themeFill="text2" w:themeFillShade="80"/>
            <w:noWrap/>
            <w:vAlign w:val="center"/>
            <w:hideMark/>
          </w:tcPr>
          <w:p w:rsidR="00F6407B" w:rsidRPr="00E00A4A" w:rsidRDefault="00F6407B" w:rsidP="00364706">
            <w:pPr>
              <w:spacing w:after="0" w:line="240" w:lineRule="auto"/>
              <w:jc w:val="center"/>
              <w:rPr>
                <w:rFonts w:ascii="Calibri" w:eastAsia="Times New Roman" w:hAnsi="Calibri" w:cs="Times New Roman"/>
                <w:b/>
                <w:bCs/>
                <w:color w:val="FFFFFF"/>
                <w:sz w:val="10"/>
                <w:szCs w:val="10"/>
                <w:lang w:eastAsia="es-MX"/>
              </w:rPr>
            </w:pPr>
            <w:r w:rsidRPr="00E00A4A">
              <w:rPr>
                <w:rFonts w:ascii="Calibri" w:eastAsia="Times New Roman" w:hAnsi="Calibri" w:cs="Times New Roman"/>
                <w:b/>
                <w:bCs/>
                <w:color w:val="FFFFFF"/>
                <w:sz w:val="10"/>
                <w:szCs w:val="10"/>
                <w:lang w:eastAsia="es-MX"/>
              </w:rPr>
              <w:t>GEN</w:t>
            </w:r>
          </w:p>
        </w:tc>
        <w:tc>
          <w:tcPr>
            <w:tcW w:w="425" w:type="dxa"/>
            <w:shd w:val="clear" w:color="auto" w:fill="0F243E" w:themeFill="text2" w:themeFillShade="80"/>
            <w:noWrap/>
            <w:vAlign w:val="center"/>
            <w:hideMark/>
          </w:tcPr>
          <w:p w:rsidR="00F6407B" w:rsidRPr="00E00A4A" w:rsidRDefault="00F6407B" w:rsidP="00364706">
            <w:pPr>
              <w:spacing w:after="0" w:line="240" w:lineRule="auto"/>
              <w:jc w:val="center"/>
              <w:rPr>
                <w:rFonts w:ascii="Calibri" w:eastAsia="Times New Roman" w:hAnsi="Calibri" w:cs="Times New Roman"/>
                <w:b/>
                <w:bCs/>
                <w:color w:val="FFFFFF"/>
                <w:sz w:val="10"/>
                <w:szCs w:val="10"/>
                <w:lang w:eastAsia="es-MX"/>
              </w:rPr>
            </w:pPr>
            <w:r w:rsidRPr="00E00A4A">
              <w:rPr>
                <w:rFonts w:ascii="Calibri" w:eastAsia="Times New Roman" w:hAnsi="Calibri" w:cs="Times New Roman"/>
                <w:b/>
                <w:bCs/>
                <w:color w:val="FFFFFF"/>
                <w:sz w:val="10"/>
                <w:szCs w:val="10"/>
                <w:lang w:eastAsia="es-MX"/>
              </w:rPr>
              <w:t>ESP</w:t>
            </w:r>
          </w:p>
        </w:tc>
        <w:tc>
          <w:tcPr>
            <w:tcW w:w="425" w:type="dxa"/>
            <w:shd w:val="clear" w:color="auto" w:fill="0F243E" w:themeFill="text2" w:themeFillShade="80"/>
            <w:noWrap/>
            <w:vAlign w:val="center"/>
            <w:hideMark/>
          </w:tcPr>
          <w:p w:rsidR="00F6407B" w:rsidRPr="00E00A4A" w:rsidRDefault="00F6407B" w:rsidP="00364706">
            <w:pPr>
              <w:spacing w:after="0" w:line="240" w:lineRule="auto"/>
              <w:jc w:val="center"/>
              <w:rPr>
                <w:rFonts w:ascii="Calibri" w:eastAsia="Times New Roman" w:hAnsi="Calibri" w:cs="Times New Roman"/>
                <w:b/>
                <w:bCs/>
                <w:color w:val="FFFFFF"/>
                <w:sz w:val="10"/>
                <w:szCs w:val="10"/>
                <w:lang w:eastAsia="es-MX"/>
              </w:rPr>
            </w:pPr>
            <w:r w:rsidRPr="00E00A4A">
              <w:rPr>
                <w:rFonts w:ascii="Calibri" w:eastAsia="Times New Roman" w:hAnsi="Calibri" w:cs="Times New Roman"/>
                <w:b/>
                <w:bCs/>
                <w:color w:val="FFFFFF"/>
                <w:sz w:val="10"/>
                <w:szCs w:val="10"/>
                <w:lang w:eastAsia="es-MX"/>
              </w:rPr>
              <w:t>DIF</w:t>
            </w:r>
          </w:p>
        </w:tc>
        <w:tc>
          <w:tcPr>
            <w:tcW w:w="426" w:type="dxa"/>
            <w:shd w:val="clear" w:color="auto" w:fill="0F243E" w:themeFill="text2" w:themeFillShade="80"/>
            <w:noWrap/>
            <w:vAlign w:val="center"/>
            <w:hideMark/>
          </w:tcPr>
          <w:p w:rsidR="00F6407B" w:rsidRPr="00E00A4A" w:rsidRDefault="00F6407B" w:rsidP="00364706">
            <w:pPr>
              <w:spacing w:after="0" w:line="240" w:lineRule="auto"/>
              <w:jc w:val="center"/>
              <w:rPr>
                <w:rFonts w:ascii="Calibri" w:eastAsia="Times New Roman" w:hAnsi="Calibri" w:cs="Times New Roman"/>
                <w:b/>
                <w:bCs/>
                <w:color w:val="FFFFFF"/>
                <w:sz w:val="10"/>
                <w:szCs w:val="10"/>
                <w:lang w:eastAsia="es-MX"/>
              </w:rPr>
            </w:pPr>
            <w:r w:rsidRPr="00E00A4A">
              <w:rPr>
                <w:rFonts w:ascii="Calibri" w:eastAsia="Times New Roman" w:hAnsi="Calibri" w:cs="Times New Roman"/>
                <w:b/>
                <w:bCs/>
                <w:color w:val="FFFFFF"/>
                <w:sz w:val="10"/>
                <w:szCs w:val="10"/>
                <w:lang w:eastAsia="es-MX"/>
              </w:rPr>
              <w:t>VAR</w:t>
            </w:r>
          </w:p>
        </w:tc>
        <w:tc>
          <w:tcPr>
            <w:tcW w:w="3164" w:type="dxa"/>
            <w:shd w:val="clear" w:color="auto" w:fill="0F243E" w:themeFill="text2" w:themeFillShade="80"/>
            <w:vAlign w:val="center"/>
            <w:hideMark/>
          </w:tcPr>
          <w:p w:rsidR="00F6407B" w:rsidRPr="00E00A4A" w:rsidRDefault="00F6407B" w:rsidP="00364706">
            <w:pPr>
              <w:spacing w:after="0" w:line="240" w:lineRule="auto"/>
              <w:jc w:val="center"/>
              <w:rPr>
                <w:rFonts w:ascii="Calibri" w:eastAsia="Times New Roman" w:hAnsi="Calibri" w:cs="Times New Roman"/>
                <w:b/>
                <w:bCs/>
                <w:color w:val="FFFFFF"/>
                <w:sz w:val="10"/>
                <w:szCs w:val="10"/>
                <w:lang w:eastAsia="es-MX"/>
              </w:rPr>
            </w:pPr>
            <w:r w:rsidRPr="00E00A4A">
              <w:rPr>
                <w:rFonts w:ascii="Calibri" w:eastAsia="Times New Roman" w:hAnsi="Calibri" w:cs="Times New Roman"/>
                <w:b/>
                <w:bCs/>
                <w:color w:val="FFFFFF"/>
                <w:sz w:val="10"/>
                <w:szCs w:val="10"/>
                <w:lang w:eastAsia="es-MX"/>
              </w:rPr>
              <w:t>DESCRIPCION</w:t>
            </w:r>
          </w:p>
        </w:tc>
        <w:tc>
          <w:tcPr>
            <w:tcW w:w="426" w:type="dxa"/>
            <w:shd w:val="clear" w:color="auto" w:fill="0F243E" w:themeFill="text2" w:themeFillShade="80"/>
            <w:noWrap/>
            <w:vAlign w:val="center"/>
            <w:hideMark/>
          </w:tcPr>
          <w:p w:rsidR="00F6407B" w:rsidRPr="00E00A4A" w:rsidRDefault="00F6407B" w:rsidP="00364706">
            <w:pPr>
              <w:spacing w:after="0" w:line="240" w:lineRule="auto"/>
              <w:jc w:val="center"/>
              <w:rPr>
                <w:rFonts w:ascii="Calibri" w:eastAsia="Times New Roman" w:hAnsi="Calibri" w:cs="Times New Roman"/>
                <w:b/>
                <w:bCs/>
                <w:color w:val="FFFFFF"/>
                <w:sz w:val="10"/>
                <w:szCs w:val="10"/>
                <w:lang w:eastAsia="es-MX"/>
              </w:rPr>
            </w:pPr>
            <w:r w:rsidRPr="00E00A4A">
              <w:rPr>
                <w:rFonts w:ascii="Calibri" w:eastAsia="Times New Roman" w:hAnsi="Calibri" w:cs="Times New Roman"/>
                <w:b/>
                <w:bCs/>
                <w:color w:val="FFFFFF"/>
                <w:sz w:val="10"/>
                <w:szCs w:val="10"/>
                <w:lang w:eastAsia="es-MX"/>
              </w:rPr>
              <w:t>UNI</w:t>
            </w:r>
          </w:p>
        </w:tc>
        <w:tc>
          <w:tcPr>
            <w:tcW w:w="425" w:type="dxa"/>
            <w:shd w:val="clear" w:color="auto" w:fill="0F243E" w:themeFill="text2" w:themeFillShade="80"/>
            <w:noWrap/>
            <w:vAlign w:val="center"/>
            <w:hideMark/>
          </w:tcPr>
          <w:p w:rsidR="00F6407B" w:rsidRPr="00E00A4A" w:rsidRDefault="00F6407B" w:rsidP="00364706">
            <w:pPr>
              <w:spacing w:after="0" w:line="240" w:lineRule="auto"/>
              <w:jc w:val="center"/>
              <w:rPr>
                <w:rFonts w:ascii="Calibri" w:eastAsia="Times New Roman" w:hAnsi="Calibri" w:cs="Times New Roman"/>
                <w:b/>
                <w:bCs/>
                <w:color w:val="FFFFFF"/>
                <w:sz w:val="10"/>
                <w:szCs w:val="10"/>
                <w:lang w:eastAsia="es-MX"/>
              </w:rPr>
            </w:pPr>
            <w:r w:rsidRPr="00E00A4A">
              <w:rPr>
                <w:rFonts w:ascii="Calibri" w:eastAsia="Times New Roman" w:hAnsi="Calibri" w:cs="Times New Roman"/>
                <w:b/>
                <w:bCs/>
                <w:color w:val="FFFFFF"/>
                <w:sz w:val="10"/>
                <w:szCs w:val="10"/>
                <w:lang w:eastAsia="es-MX"/>
              </w:rPr>
              <w:t>CANT</w:t>
            </w:r>
          </w:p>
        </w:tc>
        <w:tc>
          <w:tcPr>
            <w:tcW w:w="425" w:type="dxa"/>
            <w:shd w:val="clear" w:color="auto" w:fill="0F243E" w:themeFill="text2" w:themeFillShade="80"/>
            <w:noWrap/>
            <w:vAlign w:val="center"/>
            <w:hideMark/>
          </w:tcPr>
          <w:p w:rsidR="00F6407B" w:rsidRPr="00E00A4A" w:rsidRDefault="00F6407B" w:rsidP="00364706">
            <w:pPr>
              <w:spacing w:after="0" w:line="240" w:lineRule="auto"/>
              <w:jc w:val="center"/>
              <w:rPr>
                <w:rFonts w:ascii="Calibri" w:eastAsia="Times New Roman" w:hAnsi="Calibri" w:cs="Times New Roman"/>
                <w:b/>
                <w:bCs/>
                <w:color w:val="FFFFFF"/>
                <w:sz w:val="10"/>
                <w:szCs w:val="10"/>
                <w:lang w:eastAsia="es-MX"/>
              </w:rPr>
            </w:pPr>
            <w:r w:rsidRPr="00E00A4A">
              <w:rPr>
                <w:rFonts w:ascii="Calibri" w:eastAsia="Times New Roman" w:hAnsi="Calibri" w:cs="Times New Roman"/>
                <w:b/>
                <w:bCs/>
                <w:color w:val="FFFFFF"/>
                <w:sz w:val="10"/>
                <w:szCs w:val="10"/>
                <w:lang w:eastAsia="es-MX"/>
              </w:rPr>
              <w:t>TIPO</w:t>
            </w:r>
          </w:p>
        </w:tc>
        <w:tc>
          <w:tcPr>
            <w:tcW w:w="992" w:type="dxa"/>
            <w:shd w:val="clear" w:color="auto" w:fill="0F243E" w:themeFill="text2" w:themeFillShade="80"/>
            <w:vAlign w:val="center"/>
            <w:hideMark/>
          </w:tcPr>
          <w:p w:rsidR="00F6407B" w:rsidRPr="00E00A4A" w:rsidRDefault="00F6407B" w:rsidP="00364706">
            <w:pPr>
              <w:spacing w:after="0" w:line="240" w:lineRule="auto"/>
              <w:jc w:val="center"/>
              <w:rPr>
                <w:rFonts w:ascii="Calibri" w:eastAsia="Times New Roman" w:hAnsi="Calibri" w:cs="Times New Roman"/>
                <w:b/>
                <w:bCs/>
                <w:color w:val="FFFFFF"/>
                <w:sz w:val="10"/>
                <w:szCs w:val="10"/>
                <w:lang w:eastAsia="es-MX"/>
              </w:rPr>
            </w:pPr>
            <w:r w:rsidRPr="00E00A4A">
              <w:rPr>
                <w:rFonts w:ascii="Calibri" w:eastAsia="Times New Roman" w:hAnsi="Calibri" w:cs="Times New Roman"/>
                <w:b/>
                <w:bCs/>
                <w:color w:val="FFFFFF"/>
                <w:sz w:val="10"/>
                <w:szCs w:val="10"/>
                <w:lang w:eastAsia="es-MX"/>
              </w:rPr>
              <w:t>CANTIDAD MÁXIMA</w:t>
            </w:r>
            <w:r>
              <w:rPr>
                <w:rFonts w:ascii="Calibri" w:eastAsia="Times New Roman" w:hAnsi="Calibri" w:cs="Times New Roman"/>
                <w:b/>
                <w:bCs/>
                <w:color w:val="FFFFFF"/>
                <w:sz w:val="10"/>
                <w:szCs w:val="10"/>
                <w:lang w:eastAsia="es-MX"/>
              </w:rPr>
              <w:t xml:space="preserve"> CONSOLIDADA</w:t>
            </w:r>
          </w:p>
        </w:tc>
        <w:tc>
          <w:tcPr>
            <w:tcW w:w="1134" w:type="dxa"/>
            <w:shd w:val="clear" w:color="auto" w:fill="0F243E" w:themeFill="text2" w:themeFillShade="80"/>
            <w:vAlign w:val="center"/>
            <w:hideMark/>
          </w:tcPr>
          <w:p w:rsidR="00F6407B" w:rsidRPr="00E00A4A" w:rsidRDefault="00F6407B" w:rsidP="00364706">
            <w:pPr>
              <w:spacing w:after="0" w:line="240" w:lineRule="auto"/>
              <w:jc w:val="center"/>
              <w:rPr>
                <w:rFonts w:ascii="Calibri" w:eastAsia="Times New Roman" w:hAnsi="Calibri" w:cs="Times New Roman"/>
                <w:b/>
                <w:bCs/>
                <w:color w:val="FFFFFF"/>
                <w:sz w:val="10"/>
                <w:szCs w:val="10"/>
                <w:lang w:eastAsia="es-MX"/>
              </w:rPr>
            </w:pPr>
            <w:r w:rsidRPr="00E00A4A">
              <w:rPr>
                <w:rFonts w:ascii="Calibri" w:eastAsia="Times New Roman" w:hAnsi="Calibri" w:cs="Times New Roman"/>
                <w:b/>
                <w:bCs/>
                <w:color w:val="FFFFFF"/>
                <w:sz w:val="10"/>
                <w:szCs w:val="10"/>
                <w:lang w:eastAsia="es-MX"/>
              </w:rPr>
              <w:t>CANTIDAD MINIMA</w:t>
            </w:r>
            <w:r>
              <w:rPr>
                <w:rFonts w:ascii="Calibri" w:eastAsia="Times New Roman" w:hAnsi="Calibri" w:cs="Times New Roman"/>
                <w:b/>
                <w:bCs/>
                <w:color w:val="FFFFFF"/>
                <w:sz w:val="10"/>
                <w:szCs w:val="10"/>
                <w:lang w:eastAsia="es-MX"/>
              </w:rPr>
              <w:t xml:space="preserve"> CONSOLIDADA</w:t>
            </w:r>
          </w:p>
        </w:tc>
        <w:tc>
          <w:tcPr>
            <w:tcW w:w="993" w:type="dxa"/>
            <w:shd w:val="clear" w:color="auto" w:fill="0F243E" w:themeFill="text2" w:themeFillShade="80"/>
            <w:vAlign w:val="center"/>
            <w:hideMark/>
          </w:tcPr>
          <w:p w:rsidR="00F6407B" w:rsidRPr="00E00A4A" w:rsidRDefault="00F6407B" w:rsidP="00364706">
            <w:pPr>
              <w:spacing w:after="0" w:line="240" w:lineRule="auto"/>
              <w:jc w:val="center"/>
              <w:rPr>
                <w:rFonts w:ascii="Calibri" w:eastAsia="Times New Roman" w:hAnsi="Calibri" w:cs="Times New Roman"/>
                <w:b/>
                <w:bCs/>
                <w:color w:val="FFFFFF"/>
                <w:sz w:val="10"/>
                <w:szCs w:val="10"/>
                <w:lang w:eastAsia="es-MX"/>
              </w:rPr>
            </w:pPr>
            <w:r>
              <w:rPr>
                <w:rFonts w:ascii="Calibri" w:eastAsia="Times New Roman" w:hAnsi="Calibri" w:cs="Times New Roman"/>
                <w:b/>
                <w:bCs/>
                <w:color w:val="FFFFFF"/>
                <w:sz w:val="10"/>
                <w:szCs w:val="10"/>
                <w:lang w:eastAsia="es-MX"/>
              </w:rPr>
              <w:t>***</w:t>
            </w:r>
            <w:r w:rsidRPr="00E00A4A">
              <w:rPr>
                <w:rFonts w:ascii="Calibri" w:eastAsia="Times New Roman" w:hAnsi="Calibri" w:cs="Times New Roman"/>
                <w:b/>
                <w:bCs/>
                <w:color w:val="FFFFFF"/>
                <w:sz w:val="10"/>
                <w:szCs w:val="10"/>
                <w:lang w:eastAsia="es-MX"/>
              </w:rPr>
              <w:t xml:space="preserve"> PARTICULARES DE ENTREGA PARA EL IMSS</w:t>
            </w:r>
          </w:p>
        </w:tc>
        <w:tc>
          <w:tcPr>
            <w:tcW w:w="874" w:type="dxa"/>
            <w:shd w:val="clear" w:color="auto" w:fill="0F243E" w:themeFill="text2" w:themeFillShade="80"/>
          </w:tcPr>
          <w:p w:rsidR="00F6407B" w:rsidRDefault="00F6407B" w:rsidP="00364706">
            <w:pPr>
              <w:spacing w:after="0" w:line="240" w:lineRule="auto"/>
              <w:jc w:val="center"/>
              <w:rPr>
                <w:rFonts w:ascii="Calibri" w:eastAsia="Times New Roman" w:hAnsi="Calibri" w:cs="Times New Roman"/>
                <w:b/>
                <w:bCs/>
                <w:color w:val="FFFFFF"/>
                <w:sz w:val="10"/>
                <w:szCs w:val="10"/>
                <w:lang w:eastAsia="es-MX"/>
              </w:rPr>
            </w:pPr>
          </w:p>
          <w:p w:rsidR="00F6407B" w:rsidRPr="00E00A4A" w:rsidRDefault="00F6407B" w:rsidP="00364706">
            <w:pPr>
              <w:jc w:val="center"/>
              <w:rPr>
                <w:rFonts w:ascii="Calibri" w:eastAsia="Times New Roman" w:hAnsi="Calibri" w:cs="Times New Roman"/>
                <w:sz w:val="10"/>
                <w:szCs w:val="10"/>
                <w:lang w:eastAsia="es-MX"/>
              </w:rPr>
            </w:pPr>
            <w:r>
              <w:rPr>
                <w:rFonts w:ascii="Calibri" w:eastAsia="Times New Roman" w:hAnsi="Calibri" w:cs="Times New Roman"/>
                <w:sz w:val="10"/>
                <w:szCs w:val="10"/>
                <w:lang w:eastAsia="es-MX"/>
              </w:rPr>
              <w:t>PMR</w:t>
            </w:r>
          </w:p>
        </w:tc>
      </w:tr>
      <w:tr w:rsidR="00F6407B" w:rsidRPr="00E00A4A" w:rsidTr="00F6407B">
        <w:trPr>
          <w:trHeight w:val="495"/>
          <w:jc w:val="center"/>
        </w:trPr>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010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000</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1501</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3164" w:type="dxa"/>
            <w:shd w:val="clear" w:color="auto" w:fill="auto"/>
            <w:vAlign w:val="center"/>
            <w:hideMark/>
          </w:tcPr>
          <w:p w:rsidR="00F6407B" w:rsidRPr="00E00A4A" w:rsidRDefault="00F6407B" w:rsidP="00364706">
            <w:pPr>
              <w:spacing w:after="0" w:line="240" w:lineRule="auto"/>
              <w:jc w:val="both"/>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ESTROGENOS CONJUGADOS GRAGEA O TABLETA CADA GRAGEA O TABLETA CONTIENE: ESTROGENOS CONJUGADOS DE ORIGEN EQUINO 0.625 MG ENVASE CON 42 GRAGEAS O TABLETAS.</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ENV</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42</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T.G</w:t>
            </w:r>
          </w:p>
        </w:tc>
        <w:tc>
          <w:tcPr>
            <w:tcW w:w="992"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240,669</w:t>
            </w:r>
          </w:p>
        </w:tc>
        <w:tc>
          <w:tcPr>
            <w:tcW w:w="1134"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96,269</w:t>
            </w:r>
          </w:p>
        </w:tc>
        <w:tc>
          <w:tcPr>
            <w:tcW w:w="993"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p>
        </w:tc>
        <w:tc>
          <w:tcPr>
            <w:tcW w:w="874" w:type="dxa"/>
            <w:vAlign w:val="center"/>
          </w:tcPr>
          <w:p w:rsidR="00F6407B" w:rsidRPr="00E00A4A" w:rsidRDefault="00F6407B" w:rsidP="00364706">
            <w:pPr>
              <w:spacing w:after="0" w:line="240" w:lineRule="auto"/>
              <w:jc w:val="center"/>
              <w:rPr>
                <w:rFonts w:ascii="Calibri" w:hAnsi="Calibri"/>
                <w:color w:val="000000"/>
                <w:sz w:val="10"/>
                <w:szCs w:val="10"/>
              </w:rPr>
            </w:pPr>
            <w:r w:rsidRPr="00E00A4A">
              <w:rPr>
                <w:rFonts w:ascii="Calibri" w:hAnsi="Calibri"/>
                <w:color w:val="000000"/>
                <w:sz w:val="10"/>
                <w:szCs w:val="10"/>
              </w:rPr>
              <w:t>$109.96</w:t>
            </w:r>
          </w:p>
        </w:tc>
      </w:tr>
      <w:tr w:rsidR="00F6407B" w:rsidRPr="00E00A4A" w:rsidTr="00F6407B">
        <w:trPr>
          <w:trHeight w:val="330"/>
          <w:jc w:val="center"/>
        </w:trPr>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010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000</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1552</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3164" w:type="dxa"/>
            <w:shd w:val="clear" w:color="auto" w:fill="auto"/>
            <w:vAlign w:val="center"/>
            <w:hideMark/>
          </w:tcPr>
          <w:p w:rsidR="00F6407B" w:rsidRPr="00E00A4A" w:rsidRDefault="00F6407B" w:rsidP="00364706">
            <w:pPr>
              <w:spacing w:after="0" w:line="240" w:lineRule="auto"/>
              <w:jc w:val="both"/>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ORCIPRENALINA TABLETA CADA TABLETA CONTIENE: SULFATO DE ORCIPRENALINA 20 MG ENVASE CON 30 TABLETAS.</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ENV</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30</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TAB</w:t>
            </w:r>
          </w:p>
        </w:tc>
        <w:tc>
          <w:tcPr>
            <w:tcW w:w="992"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84,695</w:t>
            </w:r>
          </w:p>
        </w:tc>
        <w:tc>
          <w:tcPr>
            <w:tcW w:w="1134"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33,883</w:t>
            </w:r>
          </w:p>
        </w:tc>
        <w:tc>
          <w:tcPr>
            <w:tcW w:w="993"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p>
        </w:tc>
        <w:tc>
          <w:tcPr>
            <w:tcW w:w="874" w:type="dxa"/>
            <w:vAlign w:val="center"/>
          </w:tcPr>
          <w:p w:rsidR="00F6407B" w:rsidRPr="00E00A4A" w:rsidRDefault="00F6407B" w:rsidP="00364706">
            <w:pPr>
              <w:spacing w:after="0" w:line="240" w:lineRule="auto"/>
              <w:jc w:val="center"/>
              <w:rPr>
                <w:rFonts w:ascii="Calibri" w:hAnsi="Calibri"/>
                <w:color w:val="000000"/>
                <w:sz w:val="10"/>
                <w:szCs w:val="10"/>
              </w:rPr>
            </w:pPr>
            <w:r w:rsidRPr="00E00A4A">
              <w:rPr>
                <w:rFonts w:ascii="Calibri" w:hAnsi="Calibri"/>
                <w:color w:val="000000"/>
                <w:sz w:val="10"/>
                <w:szCs w:val="10"/>
              </w:rPr>
              <w:t>$58.65</w:t>
            </w:r>
          </w:p>
        </w:tc>
      </w:tr>
      <w:tr w:rsidR="00F6407B" w:rsidRPr="00E00A4A" w:rsidTr="00F6407B">
        <w:trPr>
          <w:trHeight w:val="495"/>
          <w:jc w:val="center"/>
        </w:trPr>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010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000</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1928</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3164" w:type="dxa"/>
            <w:shd w:val="clear" w:color="auto" w:fill="auto"/>
            <w:vAlign w:val="center"/>
            <w:hideMark/>
          </w:tcPr>
          <w:p w:rsidR="00F6407B" w:rsidRPr="00E00A4A" w:rsidRDefault="00F6407B" w:rsidP="00364706">
            <w:pPr>
              <w:spacing w:after="0" w:line="240" w:lineRule="auto"/>
              <w:jc w:val="both"/>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DICLOXACILINA SOLUCION INYECTABLE CADA FRASCO AMPULA CON POLVO CONTIENE: DICLOXACILINA SODICA EQUIVALENTE A 250 MG DE DICLOXACILINA. ENVASE FRASCO AMPULA Y 5 ML DE DILUYENTE.</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ENV</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JGO</w:t>
            </w:r>
          </w:p>
        </w:tc>
        <w:tc>
          <w:tcPr>
            <w:tcW w:w="992"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2,778,906</w:t>
            </w:r>
          </w:p>
        </w:tc>
        <w:tc>
          <w:tcPr>
            <w:tcW w:w="1134"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1,111,567</w:t>
            </w:r>
          </w:p>
        </w:tc>
        <w:tc>
          <w:tcPr>
            <w:tcW w:w="993"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p>
        </w:tc>
        <w:tc>
          <w:tcPr>
            <w:tcW w:w="874" w:type="dxa"/>
            <w:vAlign w:val="center"/>
          </w:tcPr>
          <w:p w:rsidR="00F6407B" w:rsidRPr="00E00A4A" w:rsidRDefault="00F6407B" w:rsidP="00364706">
            <w:pPr>
              <w:spacing w:after="0" w:line="240" w:lineRule="auto"/>
              <w:jc w:val="center"/>
              <w:rPr>
                <w:rFonts w:ascii="Calibri" w:hAnsi="Calibri"/>
                <w:color w:val="000000"/>
                <w:sz w:val="10"/>
                <w:szCs w:val="10"/>
              </w:rPr>
            </w:pPr>
            <w:r w:rsidRPr="00E00A4A">
              <w:rPr>
                <w:rFonts w:ascii="Calibri" w:hAnsi="Calibri"/>
                <w:color w:val="000000"/>
                <w:sz w:val="10"/>
                <w:szCs w:val="10"/>
              </w:rPr>
              <w:t>$6.93</w:t>
            </w:r>
          </w:p>
        </w:tc>
      </w:tr>
      <w:tr w:rsidR="00F6407B" w:rsidRPr="00E00A4A" w:rsidTr="00F6407B">
        <w:trPr>
          <w:trHeight w:val="330"/>
          <w:jc w:val="center"/>
        </w:trPr>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010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000</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2302</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3164" w:type="dxa"/>
            <w:shd w:val="clear" w:color="auto" w:fill="auto"/>
            <w:vAlign w:val="center"/>
            <w:hideMark/>
          </w:tcPr>
          <w:p w:rsidR="00F6407B" w:rsidRPr="00E00A4A" w:rsidRDefault="00F6407B" w:rsidP="00364706">
            <w:pPr>
              <w:spacing w:after="0" w:line="240" w:lineRule="auto"/>
              <w:jc w:val="both"/>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ACETAZOLAMIDA TABLETA CADA TABLETA CONTIENE: ACETAZOLAMIDA 250 MG ENVASE CON 20 TABLETAS.</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ENV</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20</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TAB</w:t>
            </w:r>
          </w:p>
        </w:tc>
        <w:tc>
          <w:tcPr>
            <w:tcW w:w="992"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152,873</w:t>
            </w:r>
          </w:p>
        </w:tc>
        <w:tc>
          <w:tcPr>
            <w:tcW w:w="1134"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61,155</w:t>
            </w:r>
          </w:p>
        </w:tc>
        <w:tc>
          <w:tcPr>
            <w:tcW w:w="993"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p>
        </w:tc>
        <w:tc>
          <w:tcPr>
            <w:tcW w:w="874" w:type="dxa"/>
            <w:vAlign w:val="center"/>
          </w:tcPr>
          <w:p w:rsidR="00F6407B" w:rsidRPr="00E00A4A" w:rsidRDefault="00F6407B" w:rsidP="00364706">
            <w:pPr>
              <w:spacing w:after="0" w:line="240" w:lineRule="auto"/>
              <w:jc w:val="center"/>
              <w:rPr>
                <w:rFonts w:ascii="Calibri" w:hAnsi="Calibri"/>
                <w:color w:val="000000"/>
                <w:sz w:val="10"/>
                <w:szCs w:val="10"/>
              </w:rPr>
            </w:pPr>
            <w:r w:rsidRPr="00E00A4A">
              <w:rPr>
                <w:rFonts w:ascii="Calibri" w:hAnsi="Calibri"/>
                <w:color w:val="000000"/>
                <w:sz w:val="10"/>
                <w:szCs w:val="10"/>
              </w:rPr>
              <w:t>$15.13</w:t>
            </w:r>
          </w:p>
        </w:tc>
      </w:tr>
      <w:tr w:rsidR="00F6407B" w:rsidRPr="00E00A4A" w:rsidTr="00F6407B">
        <w:trPr>
          <w:trHeight w:val="495"/>
          <w:jc w:val="center"/>
        </w:trPr>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010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000</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2523</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3164" w:type="dxa"/>
            <w:shd w:val="clear" w:color="auto" w:fill="auto"/>
            <w:vAlign w:val="center"/>
            <w:hideMark/>
          </w:tcPr>
          <w:p w:rsidR="00F6407B" w:rsidRPr="00E00A4A" w:rsidRDefault="00F6407B" w:rsidP="00364706">
            <w:pPr>
              <w:spacing w:after="0" w:line="240" w:lineRule="auto"/>
              <w:jc w:val="both"/>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NITAZOXANIDA GRAGEA O TABLETA RECUBIERTA CADA GRAGEA O TABLETA RECUBIERTA CONTIENE: NITAZOXANIDA 500 MG ENVASE CON 6 GRAGEAS O TABLETAS RECUBIERTAS.</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ENV</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6</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T.G</w:t>
            </w:r>
          </w:p>
        </w:tc>
        <w:tc>
          <w:tcPr>
            <w:tcW w:w="992"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159,959</w:t>
            </w:r>
          </w:p>
        </w:tc>
        <w:tc>
          <w:tcPr>
            <w:tcW w:w="1134"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63,986</w:t>
            </w:r>
          </w:p>
        </w:tc>
        <w:tc>
          <w:tcPr>
            <w:tcW w:w="993"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p>
        </w:tc>
        <w:tc>
          <w:tcPr>
            <w:tcW w:w="874" w:type="dxa"/>
            <w:vAlign w:val="center"/>
          </w:tcPr>
          <w:p w:rsidR="00F6407B" w:rsidRPr="00E00A4A" w:rsidRDefault="00F6407B" w:rsidP="00364706">
            <w:pPr>
              <w:spacing w:after="0" w:line="240" w:lineRule="auto"/>
              <w:jc w:val="center"/>
              <w:rPr>
                <w:rFonts w:ascii="Calibri" w:hAnsi="Calibri"/>
                <w:color w:val="000000"/>
                <w:sz w:val="10"/>
                <w:szCs w:val="10"/>
              </w:rPr>
            </w:pPr>
            <w:r w:rsidRPr="00E00A4A">
              <w:rPr>
                <w:rFonts w:ascii="Calibri" w:hAnsi="Calibri"/>
                <w:color w:val="000000"/>
                <w:sz w:val="10"/>
                <w:szCs w:val="10"/>
              </w:rPr>
              <w:t>$18.64</w:t>
            </w:r>
          </w:p>
        </w:tc>
      </w:tr>
      <w:tr w:rsidR="00F6407B" w:rsidRPr="00E00A4A" w:rsidTr="00F6407B">
        <w:trPr>
          <w:trHeight w:val="330"/>
          <w:jc w:val="center"/>
        </w:trPr>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010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000</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4271</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3164" w:type="dxa"/>
            <w:shd w:val="clear" w:color="auto" w:fill="auto"/>
            <w:vAlign w:val="center"/>
            <w:hideMark/>
          </w:tcPr>
          <w:p w:rsidR="00F6407B" w:rsidRPr="00E00A4A" w:rsidRDefault="00F6407B" w:rsidP="00364706">
            <w:pPr>
              <w:spacing w:after="0" w:line="240" w:lineRule="auto"/>
              <w:jc w:val="both"/>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LAMIVUDINA SOLUCION CADA 100 ML CONTIENEN: LAMIVUDINA 1 G ENVASE CON 240 ML Y DOSIFICADOR.</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ENV</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ENV</w:t>
            </w:r>
          </w:p>
        </w:tc>
        <w:tc>
          <w:tcPr>
            <w:tcW w:w="992"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449</w:t>
            </w:r>
          </w:p>
        </w:tc>
        <w:tc>
          <w:tcPr>
            <w:tcW w:w="1134"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181</w:t>
            </w:r>
          </w:p>
        </w:tc>
        <w:tc>
          <w:tcPr>
            <w:tcW w:w="993"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p>
        </w:tc>
        <w:tc>
          <w:tcPr>
            <w:tcW w:w="874" w:type="dxa"/>
            <w:vAlign w:val="center"/>
          </w:tcPr>
          <w:p w:rsidR="00F6407B" w:rsidRPr="00E00A4A" w:rsidRDefault="00F6407B" w:rsidP="00364706">
            <w:pPr>
              <w:spacing w:after="0" w:line="240" w:lineRule="auto"/>
              <w:jc w:val="center"/>
              <w:rPr>
                <w:rFonts w:ascii="Calibri" w:hAnsi="Calibri"/>
                <w:color w:val="000000"/>
                <w:sz w:val="10"/>
                <w:szCs w:val="10"/>
              </w:rPr>
            </w:pPr>
            <w:r w:rsidRPr="00E00A4A">
              <w:rPr>
                <w:rFonts w:ascii="Calibri" w:hAnsi="Calibri"/>
                <w:color w:val="000000"/>
                <w:sz w:val="10"/>
                <w:szCs w:val="10"/>
              </w:rPr>
              <w:t>$918.61</w:t>
            </w:r>
          </w:p>
        </w:tc>
      </w:tr>
      <w:tr w:rsidR="00F6407B" w:rsidRPr="00E00A4A" w:rsidTr="00F6407B">
        <w:trPr>
          <w:trHeight w:val="495"/>
          <w:jc w:val="center"/>
        </w:trPr>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010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000</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5161</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3164" w:type="dxa"/>
            <w:shd w:val="clear" w:color="auto" w:fill="auto"/>
            <w:vAlign w:val="center"/>
            <w:hideMark/>
          </w:tcPr>
          <w:p w:rsidR="00F6407B" w:rsidRPr="00E00A4A" w:rsidRDefault="00F6407B" w:rsidP="00364706">
            <w:pPr>
              <w:spacing w:after="0" w:line="240" w:lineRule="auto"/>
              <w:jc w:val="both"/>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CALCITONINA SOLUCION INYECTABLE CADA AMPOLLETA O FRASCO AMPULA CON SOLUCION O LIOFILIZADO CONTIENE: CALCITONINA SINTETICA DE SALMON 50 UI ENVASE CON 5 AMPOLLETAS O FRASCOS AMPULA CON DILUYENTE.</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ENV</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5</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JGO</w:t>
            </w:r>
          </w:p>
        </w:tc>
        <w:tc>
          <w:tcPr>
            <w:tcW w:w="992"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3,420</w:t>
            </w:r>
          </w:p>
        </w:tc>
        <w:tc>
          <w:tcPr>
            <w:tcW w:w="1134"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1,368</w:t>
            </w:r>
          </w:p>
        </w:tc>
        <w:tc>
          <w:tcPr>
            <w:tcW w:w="993"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p>
        </w:tc>
        <w:tc>
          <w:tcPr>
            <w:tcW w:w="874" w:type="dxa"/>
            <w:vAlign w:val="center"/>
          </w:tcPr>
          <w:p w:rsidR="00F6407B" w:rsidRPr="00E00A4A" w:rsidRDefault="00F6407B" w:rsidP="00364706">
            <w:pPr>
              <w:spacing w:after="0" w:line="240" w:lineRule="auto"/>
              <w:jc w:val="center"/>
              <w:rPr>
                <w:rFonts w:ascii="Calibri" w:hAnsi="Calibri"/>
                <w:color w:val="000000"/>
                <w:sz w:val="10"/>
                <w:szCs w:val="10"/>
              </w:rPr>
            </w:pPr>
            <w:r w:rsidRPr="00E00A4A">
              <w:rPr>
                <w:rFonts w:ascii="Calibri" w:hAnsi="Calibri"/>
                <w:color w:val="000000"/>
                <w:sz w:val="10"/>
                <w:szCs w:val="10"/>
              </w:rPr>
              <w:t>$185.00</w:t>
            </w:r>
          </w:p>
        </w:tc>
        <w:bookmarkStart w:id="0" w:name="_GoBack"/>
        <w:bookmarkEnd w:id="0"/>
      </w:tr>
      <w:tr w:rsidR="00F6407B" w:rsidRPr="00E00A4A" w:rsidTr="00F6407B">
        <w:trPr>
          <w:trHeight w:val="495"/>
          <w:jc w:val="center"/>
        </w:trPr>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010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000</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5221</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3164" w:type="dxa"/>
            <w:shd w:val="clear" w:color="auto" w:fill="auto"/>
            <w:vAlign w:val="center"/>
            <w:hideMark/>
          </w:tcPr>
          <w:p w:rsidR="00F6407B" w:rsidRPr="00E00A4A" w:rsidRDefault="00F6407B" w:rsidP="00364706">
            <w:pPr>
              <w:spacing w:after="0" w:line="240" w:lineRule="auto"/>
              <w:jc w:val="both"/>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PEGINTERFERON ALFA. SOLUCION INYECTABLE. CADA PLUMA PRECARGADA CON LIOFILIZADO CONTIENE: PEGINTERFERON ALFA-2B 80 MICROGRAMOS. ENVASE CON UNA PLUMA PRECARGADA Y UN CARTUCHO CON 0.5 ML DE DILUYENTE.</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ENV</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ENV</w:t>
            </w:r>
          </w:p>
        </w:tc>
        <w:tc>
          <w:tcPr>
            <w:tcW w:w="992"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1,909</w:t>
            </w:r>
          </w:p>
        </w:tc>
        <w:tc>
          <w:tcPr>
            <w:tcW w:w="1134"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764</w:t>
            </w:r>
          </w:p>
        </w:tc>
        <w:tc>
          <w:tcPr>
            <w:tcW w:w="993" w:type="dxa"/>
            <w:shd w:val="clear" w:color="auto" w:fill="auto"/>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ENTREGA HOSPITALARIA</w:t>
            </w:r>
          </w:p>
        </w:tc>
        <w:tc>
          <w:tcPr>
            <w:tcW w:w="874" w:type="dxa"/>
            <w:vAlign w:val="center"/>
          </w:tcPr>
          <w:p w:rsidR="00F6407B" w:rsidRPr="00E00A4A" w:rsidRDefault="00F6407B" w:rsidP="00364706">
            <w:pPr>
              <w:spacing w:after="0" w:line="240" w:lineRule="auto"/>
              <w:jc w:val="center"/>
              <w:rPr>
                <w:rFonts w:ascii="Calibri" w:hAnsi="Calibri"/>
                <w:color w:val="000000"/>
                <w:sz w:val="10"/>
                <w:szCs w:val="10"/>
              </w:rPr>
            </w:pPr>
            <w:r w:rsidRPr="00E00A4A">
              <w:rPr>
                <w:rFonts w:ascii="Calibri" w:hAnsi="Calibri"/>
                <w:color w:val="000000"/>
                <w:sz w:val="10"/>
                <w:szCs w:val="10"/>
              </w:rPr>
              <w:t>$1,947.66</w:t>
            </w:r>
          </w:p>
        </w:tc>
      </w:tr>
      <w:tr w:rsidR="00F6407B" w:rsidRPr="00E00A4A" w:rsidTr="00F6407B">
        <w:trPr>
          <w:trHeight w:val="495"/>
          <w:jc w:val="center"/>
        </w:trPr>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010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000</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5222</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3164" w:type="dxa"/>
            <w:shd w:val="clear" w:color="auto" w:fill="auto"/>
            <w:vAlign w:val="center"/>
            <w:hideMark/>
          </w:tcPr>
          <w:p w:rsidR="00F6407B" w:rsidRPr="00E00A4A" w:rsidRDefault="00F6407B" w:rsidP="00364706">
            <w:pPr>
              <w:spacing w:after="0" w:line="240" w:lineRule="auto"/>
              <w:jc w:val="both"/>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PEGINTERFERON ALFA. SOLUCION INYECTABLE. CADA PLUMA PRECARGADA CON LIOFILIZADO CONTIENE: PEGINTERFERON ALFA-2B 120 MICROGRAMOS. ENVASE CON UNA PLUMA PRECARGADA Y UN CARTUCHO CON 0.5 ML DE DILUYENTE.</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ENV</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JGO</w:t>
            </w:r>
          </w:p>
        </w:tc>
        <w:tc>
          <w:tcPr>
            <w:tcW w:w="992"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8,153</w:t>
            </w:r>
          </w:p>
        </w:tc>
        <w:tc>
          <w:tcPr>
            <w:tcW w:w="1134"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3,262</w:t>
            </w:r>
          </w:p>
        </w:tc>
        <w:tc>
          <w:tcPr>
            <w:tcW w:w="993" w:type="dxa"/>
            <w:shd w:val="clear" w:color="auto" w:fill="auto"/>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ENTREGA HOSPITALARIA</w:t>
            </w:r>
          </w:p>
        </w:tc>
        <w:tc>
          <w:tcPr>
            <w:tcW w:w="874" w:type="dxa"/>
            <w:vAlign w:val="center"/>
          </w:tcPr>
          <w:p w:rsidR="00F6407B" w:rsidRPr="00E00A4A" w:rsidRDefault="00F6407B" w:rsidP="00364706">
            <w:pPr>
              <w:spacing w:after="0" w:line="240" w:lineRule="auto"/>
              <w:jc w:val="center"/>
              <w:rPr>
                <w:rFonts w:ascii="Calibri" w:hAnsi="Calibri"/>
                <w:color w:val="000000"/>
                <w:sz w:val="10"/>
                <w:szCs w:val="10"/>
              </w:rPr>
            </w:pPr>
            <w:r w:rsidRPr="00E00A4A">
              <w:rPr>
                <w:rFonts w:ascii="Calibri" w:hAnsi="Calibri"/>
                <w:color w:val="000000"/>
                <w:sz w:val="10"/>
                <w:szCs w:val="10"/>
              </w:rPr>
              <w:t>$2,892.35</w:t>
            </w:r>
          </w:p>
        </w:tc>
      </w:tr>
      <w:tr w:rsidR="00F6407B" w:rsidRPr="00E00A4A" w:rsidTr="00F6407B">
        <w:trPr>
          <w:trHeight w:val="495"/>
          <w:jc w:val="center"/>
        </w:trPr>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010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000</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5224</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3164" w:type="dxa"/>
            <w:shd w:val="clear" w:color="auto" w:fill="auto"/>
            <w:vAlign w:val="center"/>
            <w:hideMark/>
          </w:tcPr>
          <w:p w:rsidR="00F6407B" w:rsidRPr="00E00A4A" w:rsidRDefault="00F6407B" w:rsidP="00364706">
            <w:pPr>
              <w:spacing w:after="0" w:line="240" w:lineRule="auto"/>
              <w:jc w:val="both"/>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PEGINTERFERON ALFA. SOLUCION INYECTABLE. CADA PLUMA PRECARGADA CON LIOFILIZADO CONTIENE: PEGINTERFERON ALFA-2B 100 MICROGRAMOS. ENVASE CON UNA PLUMA PRECARGADA Y UN CARTUCHO CON 0.5 ML DE DILUYENTE.</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ENV</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JGO</w:t>
            </w:r>
          </w:p>
        </w:tc>
        <w:tc>
          <w:tcPr>
            <w:tcW w:w="992"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24,441</w:t>
            </w:r>
          </w:p>
        </w:tc>
        <w:tc>
          <w:tcPr>
            <w:tcW w:w="1134"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9,778</w:t>
            </w:r>
          </w:p>
        </w:tc>
        <w:tc>
          <w:tcPr>
            <w:tcW w:w="993" w:type="dxa"/>
            <w:shd w:val="clear" w:color="auto" w:fill="auto"/>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ENTREGA HOSPITALARIA</w:t>
            </w:r>
          </w:p>
        </w:tc>
        <w:tc>
          <w:tcPr>
            <w:tcW w:w="874" w:type="dxa"/>
            <w:vAlign w:val="center"/>
          </w:tcPr>
          <w:p w:rsidR="00F6407B" w:rsidRPr="00E00A4A" w:rsidRDefault="00F6407B" w:rsidP="00364706">
            <w:pPr>
              <w:spacing w:after="0" w:line="240" w:lineRule="auto"/>
              <w:jc w:val="center"/>
              <w:rPr>
                <w:rFonts w:ascii="Calibri" w:hAnsi="Calibri"/>
                <w:color w:val="000000"/>
                <w:sz w:val="10"/>
                <w:szCs w:val="10"/>
              </w:rPr>
            </w:pPr>
            <w:r w:rsidRPr="00E00A4A">
              <w:rPr>
                <w:rFonts w:ascii="Calibri" w:hAnsi="Calibri"/>
                <w:color w:val="000000"/>
                <w:sz w:val="10"/>
                <w:szCs w:val="10"/>
              </w:rPr>
              <w:t>$2,485.56</w:t>
            </w:r>
          </w:p>
        </w:tc>
      </w:tr>
      <w:tr w:rsidR="00F6407B" w:rsidRPr="00E00A4A" w:rsidTr="00F6407B">
        <w:trPr>
          <w:trHeight w:val="495"/>
          <w:jc w:val="center"/>
        </w:trPr>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010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000</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0464</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3164" w:type="dxa"/>
            <w:shd w:val="clear" w:color="auto" w:fill="auto"/>
            <w:vAlign w:val="center"/>
            <w:hideMark/>
          </w:tcPr>
          <w:p w:rsidR="00F6407B" w:rsidRPr="00E00A4A" w:rsidRDefault="00F6407B" w:rsidP="00364706">
            <w:pPr>
              <w:spacing w:after="0" w:line="240" w:lineRule="auto"/>
              <w:jc w:val="both"/>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CROMOGLICATO DE SODIO SUSPENSION AEROSOL CADA INHALADOR CONTIENEN: CROMOGLICATO DISODICO 560 MG ENVASE CON ESPACIADOR PARA 112 DOSIS DE 5 MG.</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ENV</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ENV</w:t>
            </w:r>
          </w:p>
        </w:tc>
        <w:tc>
          <w:tcPr>
            <w:tcW w:w="992"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109,831</w:t>
            </w:r>
          </w:p>
        </w:tc>
        <w:tc>
          <w:tcPr>
            <w:tcW w:w="1134"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43,940</w:t>
            </w:r>
          </w:p>
        </w:tc>
        <w:tc>
          <w:tcPr>
            <w:tcW w:w="993"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p>
        </w:tc>
        <w:tc>
          <w:tcPr>
            <w:tcW w:w="874" w:type="dxa"/>
            <w:vAlign w:val="center"/>
          </w:tcPr>
          <w:p w:rsidR="00F6407B" w:rsidRPr="00E00A4A" w:rsidRDefault="00F6407B" w:rsidP="00364706">
            <w:pPr>
              <w:spacing w:after="0" w:line="240" w:lineRule="auto"/>
              <w:jc w:val="center"/>
              <w:rPr>
                <w:rFonts w:ascii="Calibri" w:hAnsi="Calibri"/>
                <w:color w:val="000000"/>
                <w:sz w:val="10"/>
                <w:szCs w:val="10"/>
              </w:rPr>
            </w:pPr>
            <w:r w:rsidRPr="00E00A4A">
              <w:rPr>
                <w:rFonts w:ascii="Calibri" w:hAnsi="Calibri"/>
                <w:color w:val="000000"/>
                <w:sz w:val="10"/>
                <w:szCs w:val="10"/>
              </w:rPr>
              <w:t>$130.76</w:t>
            </w:r>
          </w:p>
        </w:tc>
      </w:tr>
      <w:tr w:rsidR="00F6407B" w:rsidRPr="00E00A4A" w:rsidTr="00F6407B">
        <w:trPr>
          <w:trHeight w:val="330"/>
          <w:jc w:val="center"/>
        </w:trPr>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010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000</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1093</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00</w:t>
            </w:r>
          </w:p>
        </w:tc>
        <w:tc>
          <w:tcPr>
            <w:tcW w:w="3164" w:type="dxa"/>
            <w:shd w:val="clear" w:color="auto" w:fill="auto"/>
            <w:vAlign w:val="center"/>
            <w:hideMark/>
          </w:tcPr>
          <w:p w:rsidR="00F6407B" w:rsidRPr="00E00A4A" w:rsidRDefault="00F6407B" w:rsidP="00364706">
            <w:pPr>
              <w:spacing w:after="0" w:line="240" w:lineRule="auto"/>
              <w:jc w:val="both"/>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DANAZOL CAPSULA O COMPRIMIDO CADA CAPSULA O COMPRIMIDO CONTIENE: DANAZOL 100 MG ENVASE CON 50 CAPSULAS O COMPRIMIDOS.</w:t>
            </w:r>
          </w:p>
        </w:tc>
        <w:tc>
          <w:tcPr>
            <w:tcW w:w="426"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ENV</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50</w:t>
            </w:r>
          </w:p>
        </w:tc>
        <w:tc>
          <w:tcPr>
            <w:tcW w:w="425"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C.C</w:t>
            </w:r>
          </w:p>
        </w:tc>
        <w:tc>
          <w:tcPr>
            <w:tcW w:w="992"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134,557</w:t>
            </w:r>
          </w:p>
        </w:tc>
        <w:tc>
          <w:tcPr>
            <w:tcW w:w="1134"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r w:rsidRPr="00E00A4A">
              <w:rPr>
                <w:rFonts w:ascii="Calibri" w:eastAsia="Times New Roman" w:hAnsi="Calibri" w:cs="Times New Roman"/>
                <w:color w:val="000000"/>
                <w:sz w:val="10"/>
                <w:szCs w:val="10"/>
                <w:lang w:eastAsia="es-MX"/>
              </w:rPr>
              <w:t>53,828</w:t>
            </w:r>
          </w:p>
        </w:tc>
        <w:tc>
          <w:tcPr>
            <w:tcW w:w="993" w:type="dxa"/>
            <w:shd w:val="clear" w:color="auto" w:fill="auto"/>
            <w:noWrap/>
            <w:vAlign w:val="center"/>
            <w:hideMark/>
          </w:tcPr>
          <w:p w:rsidR="00F6407B" w:rsidRPr="00E00A4A" w:rsidRDefault="00F6407B" w:rsidP="00364706">
            <w:pPr>
              <w:spacing w:after="0" w:line="240" w:lineRule="auto"/>
              <w:jc w:val="center"/>
              <w:rPr>
                <w:rFonts w:ascii="Calibri" w:eastAsia="Times New Roman" w:hAnsi="Calibri" w:cs="Times New Roman"/>
                <w:color w:val="000000"/>
                <w:sz w:val="10"/>
                <w:szCs w:val="10"/>
                <w:lang w:eastAsia="es-MX"/>
              </w:rPr>
            </w:pPr>
          </w:p>
        </w:tc>
        <w:tc>
          <w:tcPr>
            <w:tcW w:w="874" w:type="dxa"/>
            <w:vAlign w:val="center"/>
          </w:tcPr>
          <w:p w:rsidR="00F6407B" w:rsidRPr="00E00A4A" w:rsidRDefault="00F6407B" w:rsidP="00364706">
            <w:pPr>
              <w:spacing w:after="0" w:line="240" w:lineRule="auto"/>
              <w:jc w:val="center"/>
              <w:rPr>
                <w:rFonts w:ascii="Calibri" w:hAnsi="Calibri"/>
                <w:color w:val="000000"/>
                <w:sz w:val="10"/>
                <w:szCs w:val="10"/>
              </w:rPr>
            </w:pPr>
            <w:r w:rsidRPr="00E00A4A">
              <w:rPr>
                <w:rFonts w:ascii="Calibri" w:hAnsi="Calibri"/>
                <w:color w:val="000000"/>
                <w:sz w:val="10"/>
                <w:szCs w:val="10"/>
              </w:rPr>
              <w:t>$114.83</w:t>
            </w:r>
          </w:p>
        </w:tc>
      </w:tr>
    </w:tbl>
    <w:p w:rsidR="00F6407B" w:rsidRDefault="00F6407B" w:rsidP="00CB721F">
      <w:pPr>
        <w:spacing w:after="0" w:line="240" w:lineRule="auto"/>
        <w:jc w:val="both"/>
        <w:rPr>
          <w:rFonts w:ascii="Arial" w:hAnsi="Arial" w:cs="Arial"/>
          <w:b/>
          <w:lang w:val="es-ES"/>
        </w:rPr>
      </w:pPr>
    </w:p>
    <w:p w:rsidR="00F6407B" w:rsidRPr="00F6407B" w:rsidRDefault="00F6407B" w:rsidP="00CB721F">
      <w:pPr>
        <w:spacing w:after="0" w:line="240" w:lineRule="auto"/>
        <w:jc w:val="both"/>
        <w:rPr>
          <w:rFonts w:ascii="Arial" w:hAnsi="Arial" w:cs="Arial"/>
          <w:b/>
          <w:lang w:val="es-ES"/>
        </w:rPr>
      </w:pPr>
    </w:p>
    <w:p w:rsidR="00CB721F" w:rsidRDefault="004800DD" w:rsidP="004800DD">
      <w:pPr>
        <w:spacing w:after="0" w:line="240" w:lineRule="auto"/>
        <w:jc w:val="both"/>
        <w:rPr>
          <w:rFonts w:ascii="Arial" w:hAnsi="Arial" w:cs="Arial"/>
          <w:b/>
          <w:sz w:val="16"/>
          <w:szCs w:val="16"/>
        </w:rPr>
      </w:pPr>
      <w:r w:rsidRPr="00445C20">
        <w:rPr>
          <w:rFonts w:ascii="Arial" w:hAnsi="Arial" w:cs="Arial"/>
          <w:sz w:val="16"/>
          <w:szCs w:val="16"/>
        </w:rPr>
        <w:t>***Respecto al tipo de entrega de las Entidades y Dependencias participantes se atenderá lo estipulado en las en los Anexo</w:t>
      </w:r>
      <w:r>
        <w:rPr>
          <w:rFonts w:ascii="Arial" w:hAnsi="Arial" w:cs="Arial"/>
          <w:sz w:val="16"/>
          <w:szCs w:val="16"/>
        </w:rPr>
        <w:t>s</w:t>
      </w:r>
      <w:r w:rsidRPr="00445C20">
        <w:rPr>
          <w:rFonts w:ascii="Arial" w:hAnsi="Arial" w:cs="Arial"/>
          <w:sz w:val="16"/>
          <w:szCs w:val="16"/>
        </w:rPr>
        <w:t xml:space="preserve"> denominados  </w:t>
      </w:r>
      <w:r w:rsidRPr="00445C20">
        <w:rPr>
          <w:rFonts w:ascii="Arial" w:hAnsi="Arial" w:cs="Arial"/>
          <w:b/>
          <w:sz w:val="16"/>
          <w:szCs w:val="16"/>
        </w:rPr>
        <w:t>“Lugares de entrega” y “Lugares de entrega y pago IMSS”</w:t>
      </w:r>
      <w:r>
        <w:rPr>
          <w:rFonts w:ascii="Arial" w:hAnsi="Arial" w:cs="Arial"/>
          <w:b/>
          <w:sz w:val="16"/>
          <w:szCs w:val="16"/>
        </w:rPr>
        <w:t>.</w:t>
      </w:r>
    </w:p>
    <w:p w:rsidR="004800DD" w:rsidRDefault="004800DD" w:rsidP="004800DD">
      <w:pPr>
        <w:spacing w:after="0" w:line="240" w:lineRule="auto"/>
        <w:jc w:val="both"/>
        <w:rPr>
          <w:rFonts w:ascii="Arial" w:hAnsi="Arial" w:cs="Arial"/>
          <w:b/>
          <w:sz w:val="16"/>
          <w:szCs w:val="16"/>
        </w:rPr>
      </w:pPr>
    </w:p>
    <w:p w:rsidR="009776AE" w:rsidRPr="009776AE" w:rsidRDefault="009776AE" w:rsidP="009776AE">
      <w:pPr>
        <w:spacing w:after="0" w:line="240" w:lineRule="auto"/>
        <w:jc w:val="both"/>
        <w:rPr>
          <w:rFonts w:ascii="Arial" w:eastAsia="Calibri" w:hAnsi="Arial" w:cs="Arial"/>
          <w:sz w:val="20"/>
          <w:szCs w:val="20"/>
        </w:rPr>
      </w:pPr>
      <w:r w:rsidRPr="009776AE">
        <w:rPr>
          <w:rFonts w:ascii="Arial" w:eastAsia="Calibri" w:hAnsi="Arial" w:cs="Arial"/>
          <w:sz w:val="20"/>
          <w:szCs w:val="20"/>
        </w:rPr>
        <w:t>La descripción, características, especificaciones, unidad de medida, claves y cantidades solicitadas por el Instituto,</w:t>
      </w:r>
      <w:r w:rsidR="00173B1B">
        <w:rPr>
          <w:rFonts w:ascii="Arial" w:eastAsia="Calibri" w:hAnsi="Arial" w:cs="Arial"/>
          <w:sz w:val="20"/>
          <w:szCs w:val="20"/>
        </w:rPr>
        <w:t xml:space="preserve"> también</w:t>
      </w:r>
      <w:r w:rsidRPr="009776AE">
        <w:rPr>
          <w:rFonts w:ascii="Arial" w:eastAsia="Calibri" w:hAnsi="Arial" w:cs="Arial"/>
          <w:sz w:val="20"/>
          <w:szCs w:val="20"/>
        </w:rPr>
        <w:t xml:space="preserve"> se describen en el </w:t>
      </w:r>
      <w:r w:rsidRPr="009776AE">
        <w:rPr>
          <w:rFonts w:ascii="Arial" w:eastAsia="Calibri" w:hAnsi="Arial" w:cs="Arial"/>
          <w:b/>
          <w:sz w:val="20"/>
          <w:szCs w:val="20"/>
        </w:rPr>
        <w:t>Requerimiento</w:t>
      </w:r>
      <w:r w:rsidRPr="009776AE">
        <w:rPr>
          <w:rFonts w:ascii="Arial" w:eastAsia="Calibri" w:hAnsi="Arial" w:cs="Arial"/>
          <w:sz w:val="20"/>
          <w:szCs w:val="20"/>
        </w:rPr>
        <w:t>.</w:t>
      </w:r>
    </w:p>
    <w:p w:rsidR="009776AE" w:rsidRPr="00264E6E" w:rsidRDefault="009776AE" w:rsidP="009776AE">
      <w:pPr>
        <w:spacing w:after="0" w:line="240" w:lineRule="auto"/>
        <w:jc w:val="both"/>
        <w:rPr>
          <w:rFonts w:ascii="Arial" w:eastAsia="Calibri" w:hAnsi="Arial" w:cs="Arial"/>
          <w:sz w:val="18"/>
          <w:szCs w:val="20"/>
        </w:rPr>
      </w:pPr>
    </w:p>
    <w:p w:rsidR="009776AE" w:rsidRPr="009776AE" w:rsidRDefault="009776AE" w:rsidP="009776AE">
      <w:pPr>
        <w:numPr>
          <w:ilvl w:val="0"/>
          <w:numId w:val="1"/>
        </w:numPr>
        <w:spacing w:after="0" w:line="240" w:lineRule="auto"/>
        <w:contextualSpacing/>
        <w:jc w:val="both"/>
        <w:rPr>
          <w:rFonts w:ascii="Arial" w:eastAsia="Calibri" w:hAnsi="Arial" w:cs="Arial"/>
          <w:b/>
          <w:sz w:val="20"/>
          <w:szCs w:val="20"/>
          <w:lang w:val="x-none" w:eastAsia="es-ES"/>
        </w:rPr>
      </w:pPr>
      <w:r w:rsidRPr="009776AE">
        <w:rPr>
          <w:rFonts w:ascii="Arial" w:eastAsia="Calibri" w:hAnsi="Arial" w:cs="Arial"/>
          <w:b/>
          <w:sz w:val="20"/>
          <w:szCs w:val="20"/>
          <w:lang w:val="x-none" w:eastAsia="es-ES"/>
        </w:rPr>
        <w:t xml:space="preserve">Pruebas, método de evaluación y resultado mínimo que debe obtenerse.  </w:t>
      </w:r>
    </w:p>
    <w:p w:rsidR="009776AE" w:rsidRPr="008C0B3C" w:rsidRDefault="009776AE" w:rsidP="009776AE">
      <w:pPr>
        <w:spacing w:after="0" w:line="240" w:lineRule="auto"/>
        <w:jc w:val="both"/>
        <w:rPr>
          <w:rFonts w:ascii="Arial" w:eastAsia="Calibri" w:hAnsi="Arial" w:cs="Arial"/>
          <w:sz w:val="8"/>
          <w:szCs w:val="20"/>
        </w:rPr>
      </w:pPr>
    </w:p>
    <w:p w:rsidR="009776AE" w:rsidRDefault="006A0C12" w:rsidP="009776AE">
      <w:pPr>
        <w:spacing w:after="0" w:line="240" w:lineRule="auto"/>
        <w:jc w:val="both"/>
        <w:rPr>
          <w:rFonts w:ascii="Arial" w:eastAsia="Calibri" w:hAnsi="Arial" w:cs="Arial"/>
          <w:sz w:val="20"/>
          <w:szCs w:val="20"/>
        </w:rPr>
      </w:pPr>
      <w:r>
        <w:rPr>
          <w:rFonts w:ascii="Arial" w:eastAsia="Calibri" w:hAnsi="Arial" w:cs="Arial"/>
          <w:sz w:val="20"/>
          <w:szCs w:val="20"/>
        </w:rPr>
        <w:t>No se r</w:t>
      </w:r>
      <w:r w:rsidR="004800DD">
        <w:rPr>
          <w:rFonts w:ascii="Arial" w:eastAsia="Calibri" w:hAnsi="Arial" w:cs="Arial"/>
          <w:sz w:val="20"/>
          <w:szCs w:val="20"/>
        </w:rPr>
        <w:t>equiere</w:t>
      </w:r>
      <w:r w:rsidR="009776AE" w:rsidRPr="001C03DE">
        <w:rPr>
          <w:rFonts w:ascii="Arial" w:eastAsia="Calibri" w:hAnsi="Arial" w:cs="Arial"/>
          <w:sz w:val="20"/>
          <w:szCs w:val="20"/>
        </w:rPr>
        <w:t xml:space="preserve"> la aplicación de pruebas.</w:t>
      </w:r>
      <w:r w:rsidR="001C03DE" w:rsidRPr="001C03DE">
        <w:rPr>
          <w:rFonts w:ascii="Arial" w:eastAsia="Calibri" w:hAnsi="Arial" w:cs="Arial"/>
          <w:sz w:val="20"/>
          <w:szCs w:val="20"/>
        </w:rPr>
        <w:t xml:space="preserve"> </w:t>
      </w:r>
    </w:p>
    <w:p w:rsidR="00AB28AC" w:rsidRDefault="00AB28AC" w:rsidP="009776AE">
      <w:pPr>
        <w:spacing w:after="0" w:line="240" w:lineRule="auto"/>
        <w:jc w:val="both"/>
        <w:rPr>
          <w:rFonts w:ascii="Arial" w:eastAsia="Calibri" w:hAnsi="Arial" w:cs="Arial"/>
          <w:sz w:val="20"/>
          <w:szCs w:val="20"/>
        </w:rPr>
      </w:pPr>
    </w:p>
    <w:p w:rsidR="009776AE" w:rsidRPr="009776AE" w:rsidRDefault="009776AE" w:rsidP="009776AE">
      <w:pPr>
        <w:numPr>
          <w:ilvl w:val="0"/>
          <w:numId w:val="1"/>
        </w:numPr>
        <w:spacing w:after="0" w:line="240" w:lineRule="auto"/>
        <w:contextualSpacing/>
        <w:jc w:val="both"/>
        <w:rPr>
          <w:rFonts w:ascii="Arial" w:eastAsia="Calibri" w:hAnsi="Arial" w:cs="Arial"/>
          <w:b/>
          <w:sz w:val="20"/>
          <w:szCs w:val="20"/>
          <w:lang w:val="x-none" w:eastAsia="es-ES"/>
        </w:rPr>
      </w:pPr>
      <w:r w:rsidRPr="009776AE">
        <w:rPr>
          <w:rFonts w:ascii="Arial" w:eastAsia="Calibri" w:hAnsi="Arial" w:cs="Arial"/>
          <w:b/>
          <w:sz w:val="20"/>
          <w:szCs w:val="20"/>
          <w:lang w:eastAsia="es-ES"/>
        </w:rPr>
        <w:t>Formato de declaración de no conflicto de interés</w:t>
      </w:r>
      <w:r w:rsidRPr="009776AE">
        <w:rPr>
          <w:rFonts w:ascii="Arial" w:eastAsia="Calibri" w:hAnsi="Arial" w:cs="Arial"/>
          <w:b/>
          <w:sz w:val="20"/>
          <w:szCs w:val="20"/>
          <w:lang w:val="x-none" w:eastAsia="es-ES"/>
        </w:rPr>
        <w:t xml:space="preserve">. </w:t>
      </w:r>
    </w:p>
    <w:p w:rsidR="009776AE" w:rsidRPr="00264E6E" w:rsidRDefault="009776AE" w:rsidP="009776AE">
      <w:pPr>
        <w:spacing w:after="0" w:line="240" w:lineRule="auto"/>
        <w:ind w:left="720" w:hanging="720"/>
        <w:contextualSpacing/>
        <w:jc w:val="both"/>
        <w:rPr>
          <w:rFonts w:ascii="Arial" w:eastAsia="Calibri" w:hAnsi="Arial" w:cs="Arial"/>
          <w:sz w:val="18"/>
          <w:szCs w:val="20"/>
          <w:lang w:eastAsia="es-ES"/>
        </w:rPr>
      </w:pPr>
    </w:p>
    <w:p w:rsidR="009776AE" w:rsidRDefault="009776AE" w:rsidP="009776AE">
      <w:pPr>
        <w:spacing w:after="0" w:line="240" w:lineRule="auto"/>
        <w:contextualSpacing/>
        <w:jc w:val="both"/>
        <w:rPr>
          <w:rFonts w:ascii="Arial" w:eastAsia="Calibri" w:hAnsi="Arial" w:cs="Arial"/>
          <w:sz w:val="20"/>
          <w:szCs w:val="20"/>
          <w:lang w:eastAsia="es-ES"/>
        </w:rPr>
      </w:pPr>
      <w:r w:rsidRPr="009776AE">
        <w:rPr>
          <w:rFonts w:ascii="Arial" w:eastAsia="Calibri" w:hAnsi="Arial" w:cs="Arial"/>
          <w:sz w:val="20"/>
          <w:szCs w:val="20"/>
          <w:lang w:eastAsia="es-ES"/>
        </w:rPr>
        <w:t xml:space="preserve">Se </w:t>
      </w:r>
      <w:r w:rsidR="00173B1B">
        <w:rPr>
          <w:rFonts w:ascii="Arial" w:eastAsia="Calibri" w:hAnsi="Arial" w:cs="Arial"/>
          <w:sz w:val="20"/>
          <w:szCs w:val="20"/>
          <w:lang w:eastAsia="es-ES"/>
        </w:rPr>
        <w:t>anexa a la presente solicitud, c</w:t>
      </w:r>
      <w:r w:rsidRPr="009776AE">
        <w:rPr>
          <w:rFonts w:ascii="Arial" w:eastAsia="Calibri" w:hAnsi="Arial" w:cs="Arial"/>
          <w:sz w:val="20"/>
          <w:szCs w:val="20"/>
          <w:lang w:eastAsia="es-ES"/>
        </w:rPr>
        <w:t>ar</w:t>
      </w:r>
      <w:r w:rsidR="00173B1B">
        <w:rPr>
          <w:rFonts w:ascii="Arial" w:eastAsia="Calibri" w:hAnsi="Arial" w:cs="Arial"/>
          <w:sz w:val="20"/>
          <w:szCs w:val="20"/>
          <w:lang w:eastAsia="es-ES"/>
        </w:rPr>
        <w:t>tas de no conflicto de i</w:t>
      </w:r>
      <w:r w:rsidRPr="009776AE">
        <w:rPr>
          <w:rFonts w:ascii="Arial" w:eastAsia="Calibri" w:hAnsi="Arial" w:cs="Arial"/>
          <w:sz w:val="20"/>
          <w:szCs w:val="20"/>
          <w:lang w:eastAsia="es-ES"/>
        </w:rPr>
        <w:t>nterés de los servidores públicos que intervienen en el presente asunto.</w:t>
      </w:r>
    </w:p>
    <w:p w:rsidR="009776AE" w:rsidRPr="008C0B3C" w:rsidRDefault="009776AE" w:rsidP="009776AE">
      <w:pPr>
        <w:spacing w:after="0" w:line="240" w:lineRule="auto"/>
        <w:ind w:left="720" w:hanging="720"/>
        <w:contextualSpacing/>
        <w:jc w:val="both"/>
        <w:rPr>
          <w:rFonts w:ascii="Arial" w:eastAsia="Calibri" w:hAnsi="Arial" w:cs="Arial"/>
          <w:b/>
          <w:sz w:val="16"/>
          <w:szCs w:val="20"/>
          <w:lang w:eastAsia="es-ES"/>
        </w:rPr>
      </w:pPr>
    </w:p>
    <w:p w:rsidR="009776AE" w:rsidRPr="009776AE" w:rsidRDefault="009776AE" w:rsidP="009776AE">
      <w:pPr>
        <w:numPr>
          <w:ilvl w:val="0"/>
          <w:numId w:val="1"/>
        </w:numPr>
        <w:spacing w:after="0" w:line="240" w:lineRule="auto"/>
        <w:contextualSpacing/>
        <w:jc w:val="both"/>
        <w:rPr>
          <w:rFonts w:ascii="Arial" w:eastAsia="Calibri" w:hAnsi="Arial" w:cs="Arial"/>
          <w:b/>
          <w:sz w:val="20"/>
          <w:szCs w:val="20"/>
          <w:lang w:val="x-none" w:eastAsia="es-ES"/>
        </w:rPr>
      </w:pPr>
      <w:r w:rsidRPr="009776AE">
        <w:rPr>
          <w:rFonts w:ascii="Arial" w:eastAsia="Calibri" w:hAnsi="Arial" w:cs="Arial"/>
          <w:b/>
          <w:sz w:val="20"/>
          <w:szCs w:val="20"/>
          <w:lang w:val="x-none" w:eastAsia="es-ES"/>
        </w:rPr>
        <w:t xml:space="preserve">En aquellos casos en que el Área Requirente modifique la Especificación </w:t>
      </w:r>
      <w:r w:rsidRPr="009776AE">
        <w:rPr>
          <w:rFonts w:ascii="Arial" w:eastAsia="Calibri" w:hAnsi="Arial" w:cs="Arial"/>
          <w:b/>
          <w:sz w:val="20"/>
          <w:szCs w:val="20"/>
          <w:lang w:eastAsia="es-ES"/>
        </w:rPr>
        <w:t>Técnica</w:t>
      </w:r>
      <w:r w:rsidRPr="009776AE">
        <w:rPr>
          <w:rFonts w:ascii="Arial" w:eastAsia="Calibri" w:hAnsi="Arial" w:cs="Arial"/>
          <w:b/>
          <w:sz w:val="20"/>
          <w:szCs w:val="20"/>
          <w:lang w:val="x-none" w:eastAsia="es-ES"/>
        </w:rPr>
        <w:t xml:space="preserve"> de algún bien que no se encuentre regulado por el Cuadro Básico </w:t>
      </w:r>
      <w:r w:rsidRPr="009776AE">
        <w:rPr>
          <w:rFonts w:ascii="Arial" w:eastAsia="Calibri" w:hAnsi="Arial" w:cs="Arial"/>
          <w:b/>
          <w:sz w:val="20"/>
          <w:szCs w:val="20"/>
          <w:lang w:eastAsia="es-ES"/>
        </w:rPr>
        <w:t xml:space="preserve">de Medicamentos del Instituto Mexicano del </w:t>
      </w:r>
      <w:r w:rsidRPr="009776AE">
        <w:rPr>
          <w:rFonts w:ascii="Arial" w:eastAsia="Calibri" w:hAnsi="Arial" w:cs="Arial"/>
          <w:b/>
          <w:sz w:val="20"/>
          <w:szCs w:val="20"/>
          <w:lang w:eastAsia="es-ES"/>
        </w:rPr>
        <w:lastRenderedPageBreak/>
        <w:t>Seguro Social</w:t>
      </w:r>
      <w:r w:rsidRPr="009776AE">
        <w:rPr>
          <w:rFonts w:ascii="Arial" w:eastAsia="Calibri" w:hAnsi="Arial" w:cs="Arial"/>
          <w:b/>
          <w:sz w:val="20"/>
          <w:szCs w:val="20"/>
          <w:lang w:val="x-none" w:eastAsia="es-ES"/>
        </w:rPr>
        <w:t>, respecto de las especificaciones estipuladas para ese mismo bien en el ejercicio anterior, deberá acompañar a su requisición, un dictamen mediante el cual el área técnica acredite que con ello no se limita la libre participación, concurrencia y competencia económica.</w:t>
      </w:r>
    </w:p>
    <w:p w:rsidR="009776AE" w:rsidRPr="008C0B3C" w:rsidRDefault="009776AE" w:rsidP="009776AE">
      <w:pPr>
        <w:spacing w:after="0" w:line="240" w:lineRule="auto"/>
        <w:jc w:val="both"/>
        <w:rPr>
          <w:rFonts w:ascii="Arial" w:eastAsia="Calibri" w:hAnsi="Arial" w:cs="Arial"/>
          <w:sz w:val="14"/>
          <w:szCs w:val="20"/>
        </w:rPr>
      </w:pPr>
    </w:p>
    <w:p w:rsidR="009776AE" w:rsidRPr="009776AE" w:rsidRDefault="009776AE" w:rsidP="009776AE">
      <w:pPr>
        <w:spacing w:after="0" w:line="240" w:lineRule="auto"/>
        <w:jc w:val="both"/>
        <w:rPr>
          <w:rFonts w:ascii="Arial" w:eastAsia="Calibri" w:hAnsi="Arial" w:cs="Arial"/>
          <w:sz w:val="20"/>
          <w:szCs w:val="20"/>
        </w:rPr>
      </w:pPr>
      <w:r w:rsidRPr="009776AE">
        <w:rPr>
          <w:rFonts w:ascii="Arial" w:eastAsia="Calibri" w:hAnsi="Arial" w:cs="Arial"/>
          <w:sz w:val="20"/>
          <w:szCs w:val="20"/>
        </w:rPr>
        <w:t>No aplica</w:t>
      </w:r>
    </w:p>
    <w:p w:rsidR="009776AE" w:rsidRPr="00264E6E" w:rsidRDefault="009776AE" w:rsidP="009776AE">
      <w:pPr>
        <w:spacing w:after="0" w:line="240" w:lineRule="auto"/>
        <w:ind w:left="720" w:hanging="720"/>
        <w:jc w:val="both"/>
        <w:rPr>
          <w:rFonts w:ascii="Arial" w:eastAsia="Calibri" w:hAnsi="Arial" w:cs="Arial"/>
          <w:sz w:val="18"/>
          <w:szCs w:val="20"/>
        </w:rPr>
      </w:pPr>
    </w:p>
    <w:p w:rsidR="009776AE" w:rsidRPr="009776AE" w:rsidRDefault="009776AE" w:rsidP="009776AE">
      <w:pPr>
        <w:numPr>
          <w:ilvl w:val="0"/>
          <w:numId w:val="1"/>
        </w:numPr>
        <w:spacing w:after="0" w:line="240" w:lineRule="auto"/>
        <w:contextualSpacing/>
        <w:jc w:val="both"/>
        <w:rPr>
          <w:rFonts w:ascii="Arial" w:eastAsia="Calibri" w:hAnsi="Arial" w:cs="Arial"/>
          <w:b/>
          <w:sz w:val="20"/>
          <w:szCs w:val="20"/>
          <w:lang w:val="x-none" w:eastAsia="es-ES"/>
        </w:rPr>
      </w:pPr>
      <w:r w:rsidRPr="009776AE">
        <w:rPr>
          <w:rFonts w:ascii="Arial" w:eastAsia="Calibri" w:hAnsi="Arial" w:cs="Arial"/>
          <w:b/>
          <w:sz w:val="20"/>
          <w:szCs w:val="20"/>
          <w:lang w:val="x-none" w:eastAsia="es-ES"/>
        </w:rPr>
        <w:t>En aquellos casos en que el Área Requirente, modifique las especificaciones técnicas de un bien respecto de las estipuladas en el ejercicio anterior, y que derivado de la Investigación de Mercado el Área Contratante advierta que existan circunstancias que pudieran limitar la libre participación, concurrencia y competencia económica, dicha área solicitará al Área Requirente un dictamen técnico en el que se justifique que los requisitos contenidos en las especificaciones técnicas del bien, no limitan de ninguna forma la libre participación, concurrencia y competencia económica</w:t>
      </w:r>
    </w:p>
    <w:p w:rsidR="009776AE" w:rsidRPr="008C0B3C" w:rsidRDefault="009776AE" w:rsidP="009776AE">
      <w:pPr>
        <w:spacing w:after="0" w:line="240" w:lineRule="auto"/>
        <w:jc w:val="both"/>
        <w:rPr>
          <w:rFonts w:ascii="Arial" w:eastAsia="Calibri" w:hAnsi="Arial" w:cs="Arial"/>
          <w:sz w:val="14"/>
          <w:szCs w:val="20"/>
        </w:rPr>
      </w:pPr>
    </w:p>
    <w:p w:rsidR="009776AE" w:rsidRPr="009776AE" w:rsidRDefault="009776AE" w:rsidP="009776AE">
      <w:pPr>
        <w:spacing w:after="0" w:line="240" w:lineRule="auto"/>
        <w:jc w:val="both"/>
        <w:rPr>
          <w:rFonts w:ascii="Arial" w:eastAsia="Calibri" w:hAnsi="Arial" w:cs="Arial"/>
          <w:sz w:val="20"/>
          <w:szCs w:val="20"/>
        </w:rPr>
      </w:pPr>
      <w:r w:rsidRPr="009776AE">
        <w:rPr>
          <w:rFonts w:ascii="Arial" w:eastAsia="Calibri" w:hAnsi="Arial" w:cs="Arial"/>
          <w:sz w:val="20"/>
          <w:szCs w:val="20"/>
        </w:rPr>
        <w:t>No aplica</w:t>
      </w:r>
    </w:p>
    <w:p w:rsidR="009776AE" w:rsidRPr="009776AE" w:rsidRDefault="009776AE" w:rsidP="009776AE">
      <w:pPr>
        <w:spacing w:after="0" w:line="240" w:lineRule="auto"/>
        <w:jc w:val="both"/>
        <w:rPr>
          <w:rFonts w:ascii="Arial" w:eastAsia="Calibri" w:hAnsi="Arial" w:cs="Arial"/>
          <w:sz w:val="20"/>
          <w:szCs w:val="20"/>
        </w:rPr>
      </w:pPr>
    </w:p>
    <w:p w:rsidR="005C0FD8" w:rsidRPr="005A7367" w:rsidRDefault="005C0FD8" w:rsidP="005C0FD8">
      <w:pPr>
        <w:autoSpaceDE w:val="0"/>
        <w:autoSpaceDN w:val="0"/>
        <w:jc w:val="both"/>
        <w:rPr>
          <w:rFonts w:ascii="Arial" w:eastAsia="Calibri" w:hAnsi="Arial" w:cs="Arial"/>
          <w:sz w:val="18"/>
          <w:szCs w:val="18"/>
        </w:rPr>
      </w:pPr>
      <w:r w:rsidRPr="005A7367">
        <w:rPr>
          <w:rFonts w:ascii="Arial" w:eastAsia="Calibri" w:hAnsi="Arial" w:cs="Arial"/>
          <w:color w:val="000000"/>
          <w:sz w:val="18"/>
          <w:szCs w:val="18"/>
        </w:rPr>
        <w:t xml:space="preserve">El presente documento se suscribe con fundamento en las facultades conferidas en el numeral 8.1.1.2, Coordinación de Control de Abasto, del Manual de Organización de la Dirección de Administración; y en su calidad de Área </w:t>
      </w:r>
      <w:proofErr w:type="spellStart"/>
      <w:r w:rsidRPr="005A7367">
        <w:rPr>
          <w:rFonts w:ascii="Arial" w:eastAsia="Calibri" w:hAnsi="Arial" w:cs="Arial"/>
          <w:color w:val="000000"/>
          <w:sz w:val="18"/>
          <w:szCs w:val="18"/>
        </w:rPr>
        <w:t>Consolidadora</w:t>
      </w:r>
      <w:proofErr w:type="spellEnd"/>
      <w:r w:rsidRPr="005A7367">
        <w:rPr>
          <w:rFonts w:ascii="Arial" w:eastAsia="Calibri" w:hAnsi="Arial" w:cs="Arial"/>
          <w:color w:val="000000"/>
          <w:sz w:val="18"/>
          <w:szCs w:val="18"/>
        </w:rPr>
        <w:t xml:space="preserve"> en apego a lo dispuesto en las Políticas, Bases y Lineamientos en Materia de Adquisiciones, Arrendamientos y Prestación de Servicios del Instituto Mexicano del Seguro Social, conforme al requerimiento envi</w:t>
      </w:r>
      <w:r>
        <w:rPr>
          <w:rFonts w:ascii="Arial" w:eastAsia="Calibri" w:hAnsi="Arial" w:cs="Arial"/>
          <w:color w:val="000000"/>
          <w:sz w:val="18"/>
          <w:szCs w:val="18"/>
        </w:rPr>
        <w:t>ado por las Delegaciones y UMAE´S</w:t>
      </w:r>
      <w:r w:rsidRPr="005A7367">
        <w:rPr>
          <w:rFonts w:ascii="Arial" w:eastAsia="Calibri" w:hAnsi="Arial" w:cs="Arial"/>
          <w:color w:val="000000"/>
          <w:sz w:val="18"/>
          <w:szCs w:val="18"/>
        </w:rPr>
        <w:t xml:space="preserve"> del Instituto Mexicano del Seguro Social y, en el </w:t>
      </w:r>
      <w:r w:rsidRPr="005A7367">
        <w:rPr>
          <w:rFonts w:ascii="Arial" w:eastAsia="Calibri" w:hAnsi="Arial" w:cs="Arial"/>
          <w:sz w:val="18"/>
          <w:szCs w:val="18"/>
        </w:rPr>
        <w:t>caso de las dependencias y entidades requirentes se actúa como área integradora de los requerimientos.</w:t>
      </w:r>
    </w:p>
    <w:p w:rsidR="005C0FD8" w:rsidRDefault="005C0FD8" w:rsidP="005C0FD8">
      <w:pPr>
        <w:autoSpaceDE w:val="0"/>
        <w:autoSpaceDN w:val="0"/>
        <w:ind w:left="708" w:right="474"/>
        <w:jc w:val="both"/>
        <w:rPr>
          <w:rFonts w:ascii="Arial" w:eastAsia="Calibri" w:hAnsi="Arial" w:cs="Arial"/>
          <w:i/>
          <w:iCs/>
          <w:color w:val="000000"/>
          <w:sz w:val="18"/>
          <w:szCs w:val="18"/>
        </w:rPr>
      </w:pPr>
      <w:r w:rsidRPr="005A7367">
        <w:rPr>
          <w:rFonts w:ascii="Arial" w:eastAsia="Calibri" w:hAnsi="Arial" w:cs="Arial"/>
          <w:i/>
          <w:iCs/>
          <w:color w:val="000000"/>
          <w:sz w:val="18"/>
          <w:szCs w:val="18"/>
        </w:rPr>
        <w:t xml:space="preserve"> “Es la responsable de integrar, concentrar y revisar las necesidades del Área Requirente, así como reunir los dictámenes de disponibilidad presupuestaria y las especificaciones técnicas, para que, en representación de todas las Áreas Requirentes, realice el envío del expediente al Área Contratante.”</w:t>
      </w:r>
    </w:p>
    <w:p w:rsidR="006408E5" w:rsidRDefault="006408E5" w:rsidP="005C0FD8">
      <w:pPr>
        <w:autoSpaceDE w:val="0"/>
        <w:autoSpaceDN w:val="0"/>
        <w:ind w:left="708" w:right="474"/>
        <w:jc w:val="both"/>
        <w:rPr>
          <w:rFonts w:ascii="Arial" w:eastAsia="Calibri" w:hAnsi="Arial" w:cs="Arial"/>
          <w:i/>
          <w:iCs/>
          <w:color w:val="000000"/>
          <w:sz w:val="18"/>
          <w:szCs w:val="18"/>
        </w:rPr>
      </w:pPr>
    </w:p>
    <w:p w:rsidR="006408E5" w:rsidRDefault="006408E5" w:rsidP="005C0FD8">
      <w:pPr>
        <w:autoSpaceDE w:val="0"/>
        <w:autoSpaceDN w:val="0"/>
        <w:ind w:left="708" w:right="474"/>
        <w:jc w:val="both"/>
        <w:rPr>
          <w:rFonts w:ascii="Arial" w:eastAsia="Calibri" w:hAnsi="Arial" w:cs="Arial"/>
          <w:i/>
          <w:iCs/>
          <w:color w:val="000000"/>
          <w:sz w:val="18"/>
          <w:szCs w:val="18"/>
        </w:rPr>
      </w:pPr>
    </w:p>
    <w:p w:rsidR="005C0FD8" w:rsidRPr="005A7367" w:rsidRDefault="005C0FD8" w:rsidP="005C0FD8">
      <w:pPr>
        <w:autoSpaceDE w:val="0"/>
        <w:autoSpaceDN w:val="0"/>
        <w:adjustRightInd w:val="0"/>
        <w:spacing w:after="0" w:line="240" w:lineRule="auto"/>
        <w:jc w:val="center"/>
        <w:rPr>
          <w:rFonts w:ascii="Arial" w:eastAsia="Calibri" w:hAnsi="Arial" w:cs="Arial"/>
          <w:sz w:val="18"/>
        </w:rPr>
      </w:pPr>
    </w:p>
    <w:tbl>
      <w:tblPr>
        <w:tblW w:w="0" w:type="auto"/>
        <w:jc w:val="center"/>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134"/>
        <w:gridCol w:w="3769"/>
      </w:tblGrid>
      <w:tr w:rsidR="005C0FD8" w:rsidRPr="005A7367" w:rsidTr="00A21A12">
        <w:trPr>
          <w:jc w:val="center"/>
        </w:trPr>
        <w:tc>
          <w:tcPr>
            <w:tcW w:w="3686" w:type="dxa"/>
            <w:tcBorders>
              <w:top w:val="single" w:sz="4" w:space="0" w:color="auto"/>
              <w:left w:val="nil"/>
              <w:bottom w:val="nil"/>
              <w:right w:val="nil"/>
            </w:tcBorders>
          </w:tcPr>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María del Pilar Buerba Gómez</w:t>
            </w:r>
          </w:p>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 xml:space="preserve">Titular de la Coordinación de Control de Abasto </w:t>
            </w:r>
          </w:p>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p>
        </w:tc>
        <w:tc>
          <w:tcPr>
            <w:tcW w:w="1134" w:type="dxa"/>
            <w:tcBorders>
              <w:top w:val="nil"/>
              <w:left w:val="nil"/>
              <w:bottom w:val="nil"/>
              <w:right w:val="nil"/>
            </w:tcBorders>
          </w:tcPr>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p>
        </w:tc>
        <w:tc>
          <w:tcPr>
            <w:tcW w:w="3769" w:type="dxa"/>
            <w:tcBorders>
              <w:top w:val="single" w:sz="4" w:space="0" w:color="auto"/>
              <w:left w:val="nil"/>
              <w:bottom w:val="nil"/>
              <w:right w:val="nil"/>
            </w:tcBorders>
          </w:tcPr>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Gabriel Barreto Olmos</w:t>
            </w:r>
          </w:p>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Titular de la Coordinación Técnica de Planeación</w:t>
            </w:r>
          </w:p>
        </w:tc>
      </w:tr>
      <w:tr w:rsidR="005C0FD8" w:rsidRPr="005A7367" w:rsidTr="00A21A12">
        <w:trPr>
          <w:jc w:val="center"/>
        </w:trPr>
        <w:tc>
          <w:tcPr>
            <w:tcW w:w="3686" w:type="dxa"/>
            <w:tcBorders>
              <w:top w:val="nil"/>
              <w:left w:val="nil"/>
              <w:bottom w:val="nil"/>
              <w:right w:val="nil"/>
            </w:tcBorders>
          </w:tcPr>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Valida</w:t>
            </w:r>
          </w:p>
        </w:tc>
        <w:tc>
          <w:tcPr>
            <w:tcW w:w="1134" w:type="dxa"/>
            <w:tcBorders>
              <w:top w:val="nil"/>
              <w:left w:val="nil"/>
              <w:bottom w:val="nil"/>
              <w:right w:val="nil"/>
            </w:tcBorders>
          </w:tcPr>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p>
        </w:tc>
        <w:tc>
          <w:tcPr>
            <w:tcW w:w="3769" w:type="dxa"/>
            <w:tcBorders>
              <w:top w:val="nil"/>
              <w:left w:val="nil"/>
              <w:bottom w:val="nil"/>
              <w:right w:val="nil"/>
            </w:tcBorders>
          </w:tcPr>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Autoriza</w:t>
            </w:r>
          </w:p>
        </w:tc>
      </w:tr>
      <w:tr w:rsidR="005C0FD8" w:rsidRPr="005A7367" w:rsidTr="00A21A12">
        <w:trPr>
          <w:jc w:val="center"/>
        </w:trPr>
        <w:tc>
          <w:tcPr>
            <w:tcW w:w="3686" w:type="dxa"/>
            <w:tcBorders>
              <w:top w:val="nil"/>
              <w:left w:val="nil"/>
              <w:bottom w:val="nil"/>
              <w:right w:val="nil"/>
            </w:tcBorders>
          </w:tcPr>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p>
        </w:tc>
        <w:tc>
          <w:tcPr>
            <w:tcW w:w="1134" w:type="dxa"/>
            <w:tcBorders>
              <w:top w:val="nil"/>
              <w:left w:val="nil"/>
              <w:bottom w:val="nil"/>
              <w:right w:val="nil"/>
            </w:tcBorders>
          </w:tcPr>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p>
        </w:tc>
        <w:tc>
          <w:tcPr>
            <w:tcW w:w="3769" w:type="dxa"/>
            <w:tcBorders>
              <w:top w:val="nil"/>
              <w:left w:val="nil"/>
              <w:bottom w:val="nil"/>
              <w:right w:val="nil"/>
            </w:tcBorders>
          </w:tcPr>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p>
        </w:tc>
      </w:tr>
      <w:tr w:rsidR="005C0FD8" w:rsidRPr="005A7367" w:rsidTr="00A21A12">
        <w:trPr>
          <w:jc w:val="center"/>
        </w:trPr>
        <w:tc>
          <w:tcPr>
            <w:tcW w:w="3686" w:type="dxa"/>
            <w:tcBorders>
              <w:top w:val="nil"/>
              <w:left w:val="nil"/>
              <w:bottom w:val="nil"/>
              <w:right w:val="nil"/>
            </w:tcBorders>
          </w:tcPr>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p>
        </w:tc>
        <w:tc>
          <w:tcPr>
            <w:tcW w:w="1134" w:type="dxa"/>
            <w:tcBorders>
              <w:top w:val="nil"/>
              <w:left w:val="nil"/>
              <w:bottom w:val="nil"/>
              <w:right w:val="nil"/>
            </w:tcBorders>
          </w:tcPr>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p>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p>
        </w:tc>
        <w:tc>
          <w:tcPr>
            <w:tcW w:w="3769" w:type="dxa"/>
            <w:tcBorders>
              <w:top w:val="nil"/>
              <w:left w:val="nil"/>
              <w:bottom w:val="nil"/>
              <w:right w:val="nil"/>
            </w:tcBorders>
          </w:tcPr>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p>
        </w:tc>
      </w:tr>
      <w:tr w:rsidR="005C0FD8" w:rsidRPr="005A7367" w:rsidTr="00A21A12">
        <w:trPr>
          <w:trHeight w:val="80"/>
          <w:jc w:val="center"/>
        </w:trPr>
        <w:tc>
          <w:tcPr>
            <w:tcW w:w="8589" w:type="dxa"/>
            <w:gridSpan w:val="3"/>
            <w:tcBorders>
              <w:top w:val="nil"/>
              <w:left w:val="nil"/>
              <w:bottom w:val="nil"/>
              <w:right w:val="nil"/>
            </w:tcBorders>
          </w:tcPr>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_____________________________</w:t>
            </w:r>
          </w:p>
        </w:tc>
      </w:tr>
      <w:tr w:rsidR="005C0FD8" w:rsidRPr="005A7367" w:rsidTr="00A21A12">
        <w:trPr>
          <w:jc w:val="center"/>
        </w:trPr>
        <w:tc>
          <w:tcPr>
            <w:tcW w:w="8589" w:type="dxa"/>
            <w:gridSpan w:val="3"/>
            <w:tcBorders>
              <w:top w:val="nil"/>
              <w:left w:val="nil"/>
              <w:bottom w:val="nil"/>
              <w:right w:val="nil"/>
            </w:tcBorders>
          </w:tcPr>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Ana Laura Montes de Oca Choreño</w:t>
            </w:r>
          </w:p>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Titular de la División de Planeación de Bienes Terapéuticos</w:t>
            </w:r>
          </w:p>
        </w:tc>
      </w:tr>
      <w:tr w:rsidR="005C0FD8" w:rsidRPr="005A7367" w:rsidTr="00A21A12">
        <w:trPr>
          <w:jc w:val="center"/>
        </w:trPr>
        <w:tc>
          <w:tcPr>
            <w:tcW w:w="8589" w:type="dxa"/>
            <w:gridSpan w:val="3"/>
            <w:tcBorders>
              <w:top w:val="nil"/>
              <w:left w:val="nil"/>
              <w:bottom w:val="nil"/>
              <w:right w:val="nil"/>
            </w:tcBorders>
          </w:tcPr>
          <w:p w:rsidR="005C0FD8" w:rsidRPr="005A7367" w:rsidRDefault="005C0FD8" w:rsidP="00A21A1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Revisa</w:t>
            </w:r>
          </w:p>
        </w:tc>
      </w:tr>
    </w:tbl>
    <w:p w:rsidR="005C0FD8" w:rsidRPr="005A7367" w:rsidRDefault="005C0FD8" w:rsidP="005C0FD8">
      <w:pPr>
        <w:spacing w:after="0" w:line="240" w:lineRule="auto"/>
        <w:jc w:val="both"/>
        <w:rPr>
          <w:rFonts w:ascii="Arial" w:eastAsia="Calibri" w:hAnsi="Arial" w:cs="Arial"/>
          <w:sz w:val="16"/>
          <w:szCs w:val="20"/>
        </w:rPr>
      </w:pPr>
    </w:p>
    <w:p w:rsidR="00030737" w:rsidRDefault="00030737" w:rsidP="008C0B3C"/>
    <w:sectPr w:rsidR="00030737" w:rsidSect="008905DC">
      <w:headerReference w:type="even" r:id="rId8"/>
      <w:headerReference w:type="default" r:id="rId9"/>
      <w:footerReference w:type="default" r:id="rId10"/>
      <w:headerReference w:type="first" r:id="rId11"/>
      <w:pgSz w:w="12240" w:h="15840" w:code="1"/>
      <w:pgMar w:top="1237" w:right="1134" w:bottom="567" w:left="1134" w:header="709" w:footer="4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9FA" w:rsidRDefault="005579FA">
      <w:pPr>
        <w:spacing w:after="0" w:line="240" w:lineRule="auto"/>
      </w:pPr>
      <w:r>
        <w:separator/>
      </w:r>
    </w:p>
  </w:endnote>
  <w:endnote w:type="continuationSeparator" w:id="0">
    <w:p w:rsidR="005579FA" w:rsidRDefault="00557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A6C" w:rsidRPr="00D96185" w:rsidRDefault="00F85F1F" w:rsidP="00324456">
    <w:pPr>
      <w:pStyle w:val="Piedepgina"/>
      <w:jc w:val="center"/>
      <w:rPr>
        <w:rFonts w:asciiTheme="minorHAnsi" w:hAnsiTheme="minorHAnsi" w:cstheme="minorHAnsi"/>
      </w:rPr>
    </w:pPr>
    <w:r w:rsidRPr="00D96185">
      <w:rPr>
        <w:rFonts w:asciiTheme="minorHAnsi" w:hAnsiTheme="minorHAnsi" w:cstheme="minorHAnsi"/>
        <w:sz w:val="16"/>
        <w:szCs w:val="16"/>
      </w:rPr>
      <w:fldChar w:fldCharType="begin"/>
    </w:r>
    <w:r w:rsidRPr="00D96185">
      <w:rPr>
        <w:rFonts w:asciiTheme="minorHAnsi" w:hAnsiTheme="minorHAnsi" w:cstheme="minorHAnsi"/>
        <w:sz w:val="16"/>
        <w:szCs w:val="16"/>
      </w:rPr>
      <w:instrText>PAGE   \* MERGEFORMAT</w:instrText>
    </w:r>
    <w:r w:rsidRPr="00D96185">
      <w:rPr>
        <w:rFonts w:asciiTheme="minorHAnsi" w:hAnsiTheme="minorHAnsi" w:cstheme="minorHAnsi"/>
        <w:sz w:val="16"/>
        <w:szCs w:val="16"/>
      </w:rPr>
      <w:fldChar w:fldCharType="separate"/>
    </w:r>
    <w:r w:rsidR="00F6407B" w:rsidRPr="00F6407B">
      <w:rPr>
        <w:rFonts w:asciiTheme="minorHAnsi" w:hAnsiTheme="minorHAnsi" w:cstheme="minorHAnsi"/>
        <w:noProof/>
        <w:sz w:val="16"/>
        <w:szCs w:val="16"/>
        <w:lang w:val="es-ES"/>
      </w:rPr>
      <w:t>2</w:t>
    </w:r>
    <w:r w:rsidRPr="00D96185">
      <w:rPr>
        <w:rFonts w:asciiTheme="minorHAnsi" w:hAnsiTheme="minorHAnsi" w:cstheme="minorHAnsi"/>
        <w:sz w:val="16"/>
        <w:szCs w:val="16"/>
      </w:rPr>
      <w:fldChar w:fldCharType="end"/>
    </w:r>
    <w:r w:rsidRPr="00D96185">
      <w:rPr>
        <w:rFonts w:asciiTheme="minorHAnsi" w:hAnsiTheme="minorHAnsi" w:cstheme="minorHAnsi"/>
        <w:sz w:val="16"/>
        <w:szCs w:val="16"/>
      </w:rPr>
      <w:t>/Anexo Técnico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9FA" w:rsidRDefault="005579FA">
      <w:pPr>
        <w:spacing w:after="0" w:line="240" w:lineRule="auto"/>
      </w:pPr>
      <w:r>
        <w:separator/>
      </w:r>
    </w:p>
  </w:footnote>
  <w:footnote w:type="continuationSeparator" w:id="0">
    <w:p w:rsidR="005579FA" w:rsidRDefault="005579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A6C" w:rsidRDefault="005579F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60" o:spid="_x0000_s2050" type="#_x0000_t75" style="position:absolute;left:0;text-align:left;margin-left:0;margin-top:0;width:498.3pt;height:461.35pt;z-index:-251657728;mso-position-horizontal:center;mso-position-horizontal-relative:margin;mso-position-vertical:center;mso-position-vertical-relative:margin" o:allowincell="f">
          <v:imagedata r:id="rId1" o:title="IMS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A6C" w:rsidRDefault="00F85F1F" w:rsidP="00324456">
    <w:pPr>
      <w:pStyle w:val="Encabezado"/>
    </w:pPr>
    <w:r>
      <w:rPr>
        <w:noProof/>
        <w:lang w:eastAsia="es-MX"/>
      </w:rPr>
      <mc:AlternateContent>
        <mc:Choice Requires="wps">
          <w:drawing>
            <wp:anchor distT="0" distB="0" distL="114300" distR="114300" simplePos="0" relativeHeight="251657728" behindDoc="1" locked="0" layoutInCell="1" allowOverlap="1" wp14:anchorId="5AF37C50" wp14:editId="49F4FC3A">
              <wp:simplePos x="0" y="0"/>
              <wp:positionH relativeFrom="column">
                <wp:posOffset>1514475</wp:posOffset>
              </wp:positionH>
              <wp:positionV relativeFrom="paragraph">
                <wp:posOffset>-107315</wp:posOffset>
              </wp:positionV>
              <wp:extent cx="4333875" cy="695325"/>
              <wp:effectExtent l="9525" t="6985" r="9525" b="1206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695325"/>
                      </a:xfrm>
                      <a:prstGeom prst="rect">
                        <a:avLst/>
                      </a:prstGeom>
                      <a:solidFill>
                        <a:srgbClr val="FFFFFF"/>
                      </a:solidFill>
                      <a:ln w="9525">
                        <a:solidFill>
                          <a:srgbClr val="FFFFFF"/>
                        </a:solidFill>
                        <a:miter lim="800000"/>
                        <a:headEnd/>
                        <a:tailEnd/>
                      </a:ln>
                    </wps:spPr>
                    <wps:txbx>
                      <w:txbxContent>
                        <w:p w:rsidR="004B6A6C" w:rsidRPr="00D5325A" w:rsidRDefault="005579FA" w:rsidP="00324456">
                          <w:pPr>
                            <w:spacing w:after="0" w:line="240" w:lineRule="auto"/>
                            <w:rPr>
                              <w:rFonts w:ascii="Palatino Linotype" w:hAnsi="Palatino Linotype"/>
                              <w:b/>
                              <w:color w:val="000000"/>
                              <w:sz w:val="18"/>
                              <w:szCs w:val="18"/>
                            </w:rPr>
                          </w:pPr>
                        </w:p>
                        <w:p w:rsidR="004B6A6C" w:rsidRPr="00D5325A" w:rsidRDefault="00F85F1F" w:rsidP="00324456">
                          <w:pPr>
                            <w:spacing w:after="0" w:line="240" w:lineRule="auto"/>
                            <w:jc w:val="right"/>
                            <w:rPr>
                              <w:rFonts w:ascii="Palatino Linotype" w:hAnsi="Palatino Linotype"/>
                              <w:b/>
                              <w:color w:val="000000"/>
                              <w:sz w:val="18"/>
                              <w:szCs w:val="18"/>
                            </w:rPr>
                          </w:pPr>
                          <w:r w:rsidRPr="00D5325A">
                            <w:rPr>
                              <w:rFonts w:ascii="Palatino Linotype" w:hAnsi="Palatino Linotype"/>
                              <w:b/>
                              <w:color w:val="000000"/>
                              <w:sz w:val="18"/>
                              <w:szCs w:val="18"/>
                            </w:rPr>
                            <w:t>DIRECCIÓN DE ADMINISTRAC</w:t>
                          </w:r>
                          <w:r>
                            <w:rPr>
                              <w:rFonts w:ascii="Palatino Linotype" w:hAnsi="Palatino Linotype"/>
                              <w:b/>
                              <w:color w:val="000000"/>
                              <w:sz w:val="18"/>
                              <w:szCs w:val="18"/>
                            </w:rPr>
                            <w:t>IÓN</w:t>
                          </w:r>
                        </w:p>
                        <w:p w:rsidR="004B6A6C" w:rsidRPr="00D5325A" w:rsidRDefault="00F85F1F" w:rsidP="00324456">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UNIDAD DE ADMINISTRACI</w:t>
                          </w:r>
                          <w:r>
                            <w:rPr>
                              <w:rFonts w:ascii="Palatino Linotype" w:hAnsi="Palatino Linotype"/>
                              <w:color w:val="000000"/>
                              <w:sz w:val="18"/>
                              <w:szCs w:val="18"/>
                            </w:rPr>
                            <w:t>Ó</w:t>
                          </w:r>
                          <w:r w:rsidRPr="00D5325A">
                            <w:rPr>
                              <w:rFonts w:ascii="Palatino Linotype" w:hAnsi="Palatino Linotype"/>
                              <w:color w:val="000000"/>
                              <w:sz w:val="18"/>
                              <w:szCs w:val="18"/>
                            </w:rPr>
                            <w:t>N</w:t>
                          </w:r>
                        </w:p>
                        <w:p w:rsidR="004B6A6C" w:rsidRPr="00D5325A" w:rsidRDefault="00F85F1F" w:rsidP="00324456">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COORDINACIÓN DE CONTROL DE ABASTO</w:t>
                          </w:r>
                        </w:p>
                        <w:p w:rsidR="004B6A6C" w:rsidRPr="00D5325A" w:rsidRDefault="005579FA" w:rsidP="00324456">
                          <w:pPr>
                            <w:rPr>
                              <w:rFonts w:ascii="Palatino Linotype" w:hAnsi="Palatino Linotype"/>
                              <w:b/>
                              <w:color w:val="00000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119.25pt;margin-top:-8.45pt;width:341.25pt;height:54.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" strokecolor="white">
              <v:textbox>
                <w:txbxContent>
                  <w:p w:rsidR="004B6A6C" w:rsidRPr="00D5325A" w:rsidRDefault="00CF2E3D" w:rsidP="00324456">
                    <w:pPr>
                      <w:spacing w:after="0" w:line="240" w:lineRule="auto"/>
                      <w:rPr>
                        <w:rFonts w:ascii="Palatino Linotype" w:hAnsi="Palatino Linotype"/>
                        <w:b/>
                        <w:color w:val="000000"/>
                        <w:sz w:val="18"/>
                        <w:szCs w:val="18"/>
                      </w:rPr>
                    </w:pPr>
                  </w:p>
                  <w:p w:rsidR="004B6A6C" w:rsidRPr="00D5325A" w:rsidRDefault="00F85F1F" w:rsidP="00324456">
                    <w:pPr>
                      <w:spacing w:after="0" w:line="240" w:lineRule="auto"/>
                      <w:jc w:val="right"/>
                      <w:rPr>
                        <w:rFonts w:ascii="Palatino Linotype" w:hAnsi="Palatino Linotype"/>
                        <w:b/>
                        <w:color w:val="000000"/>
                        <w:sz w:val="18"/>
                        <w:szCs w:val="18"/>
                      </w:rPr>
                    </w:pPr>
                    <w:r w:rsidRPr="00D5325A">
                      <w:rPr>
                        <w:rFonts w:ascii="Palatino Linotype" w:hAnsi="Palatino Linotype"/>
                        <w:b/>
                        <w:color w:val="000000"/>
                        <w:sz w:val="18"/>
                        <w:szCs w:val="18"/>
                      </w:rPr>
                      <w:t>DIRECCIÓN DE ADMINISTRAC</w:t>
                    </w:r>
                    <w:r>
                      <w:rPr>
                        <w:rFonts w:ascii="Palatino Linotype" w:hAnsi="Palatino Linotype"/>
                        <w:b/>
                        <w:color w:val="000000"/>
                        <w:sz w:val="18"/>
                        <w:szCs w:val="18"/>
                      </w:rPr>
                      <w:t>IÓN</w:t>
                    </w:r>
                  </w:p>
                  <w:p w:rsidR="004B6A6C" w:rsidRPr="00D5325A" w:rsidRDefault="00F85F1F" w:rsidP="00324456">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UNIDAD DE ADMINISTRACI</w:t>
                    </w:r>
                    <w:r>
                      <w:rPr>
                        <w:rFonts w:ascii="Palatino Linotype" w:hAnsi="Palatino Linotype"/>
                        <w:color w:val="000000"/>
                        <w:sz w:val="18"/>
                        <w:szCs w:val="18"/>
                      </w:rPr>
                      <w:t>Ó</w:t>
                    </w:r>
                    <w:r w:rsidRPr="00D5325A">
                      <w:rPr>
                        <w:rFonts w:ascii="Palatino Linotype" w:hAnsi="Palatino Linotype"/>
                        <w:color w:val="000000"/>
                        <w:sz w:val="18"/>
                        <w:szCs w:val="18"/>
                      </w:rPr>
                      <w:t>N</w:t>
                    </w:r>
                  </w:p>
                  <w:p w:rsidR="004B6A6C" w:rsidRPr="00D5325A" w:rsidRDefault="00F85F1F" w:rsidP="00324456">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COORDINACIÓN DE CONTROL DE ABASTO</w:t>
                    </w:r>
                  </w:p>
                  <w:p w:rsidR="004B6A6C" w:rsidRPr="00D5325A" w:rsidRDefault="00CF2E3D" w:rsidP="00324456">
                    <w:pPr>
                      <w:rPr>
                        <w:rFonts w:ascii="Palatino Linotype" w:hAnsi="Palatino Linotype"/>
                        <w:b/>
                        <w:color w:val="000000"/>
                        <w:sz w:val="18"/>
                        <w:szCs w:val="18"/>
                      </w:rPr>
                    </w:pPr>
                  </w:p>
                </w:txbxContent>
              </v:textbox>
            </v:shape>
          </w:pict>
        </mc:Fallback>
      </mc:AlternateContent>
    </w:r>
    <w:r>
      <w:rPr>
        <w:noProof/>
        <w:lang w:eastAsia="es-MX"/>
      </w:rPr>
      <w:drawing>
        <wp:anchor distT="0" distB="0" distL="114300" distR="114300" simplePos="0" relativeHeight="251656704" behindDoc="0" locked="0" layoutInCell="1" allowOverlap="1" wp14:anchorId="567D1DE0" wp14:editId="18F00E4B">
          <wp:simplePos x="0" y="0"/>
          <wp:positionH relativeFrom="column">
            <wp:posOffset>5803900</wp:posOffset>
          </wp:positionH>
          <wp:positionV relativeFrom="paragraph">
            <wp:posOffset>-22860</wp:posOffset>
          </wp:positionV>
          <wp:extent cx="581660" cy="715645"/>
          <wp:effectExtent l="0" t="0" r="8890" b="825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7156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55680" behindDoc="0" locked="0" layoutInCell="1" allowOverlap="1" wp14:anchorId="4C6106A5" wp14:editId="4148D902">
          <wp:simplePos x="0" y="0"/>
          <wp:positionH relativeFrom="column">
            <wp:posOffset>-92710</wp:posOffset>
          </wp:positionH>
          <wp:positionV relativeFrom="paragraph">
            <wp:posOffset>23495</wp:posOffset>
          </wp:positionV>
          <wp:extent cx="2077085" cy="669290"/>
          <wp:effectExtent l="0" t="0" r="0" b="0"/>
          <wp:wrapNone/>
          <wp:docPr id="2" name="Imagen 2" descr="LOGO MEX HOR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LOGO MEX HORI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085" cy="669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B6A6C" w:rsidRDefault="005579FA" w:rsidP="00324456">
    <w:pPr>
      <w:pStyle w:val="Encabezado"/>
    </w:pPr>
  </w:p>
  <w:p w:rsidR="004B6A6C" w:rsidRDefault="005579FA" w:rsidP="00324456">
    <w:pPr>
      <w:pStyle w:val="Encabezado"/>
    </w:pPr>
  </w:p>
  <w:p w:rsidR="004B6A6C" w:rsidRDefault="005579FA" w:rsidP="00324456">
    <w:pPr>
      <w:pStyle w:val="Encabezado"/>
    </w:pPr>
  </w:p>
  <w:p w:rsidR="004B6A6C" w:rsidRDefault="005579FA" w:rsidP="00324456">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A6C" w:rsidRDefault="005579F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59" o:spid="_x0000_s2049" type="#_x0000_t75" style="position:absolute;left:0;text-align:left;margin-left:0;margin-top:0;width:498.3pt;height:461.35pt;z-index:-251656704;mso-position-horizontal:center;mso-position-horizontal-relative:margin;mso-position-vertical:center;mso-position-vertical-relative:margin" o:allowincell="f">
          <v:imagedata r:id="rId1" o:title="IMS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54144"/>
    <w:multiLevelType w:val="hybridMultilevel"/>
    <w:tmpl w:val="93A214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6AE"/>
    <w:rsid w:val="00016297"/>
    <w:rsid w:val="00025A02"/>
    <w:rsid w:val="00030737"/>
    <w:rsid w:val="00064E9C"/>
    <w:rsid w:val="000A1720"/>
    <w:rsid w:val="000D6F33"/>
    <w:rsid w:val="00171518"/>
    <w:rsid w:val="00173B1B"/>
    <w:rsid w:val="001C03DE"/>
    <w:rsid w:val="00212DB0"/>
    <w:rsid w:val="002278C7"/>
    <w:rsid w:val="00261E14"/>
    <w:rsid w:val="00264E6E"/>
    <w:rsid w:val="002B2E8B"/>
    <w:rsid w:val="002C1D3A"/>
    <w:rsid w:val="003351E9"/>
    <w:rsid w:val="00463B02"/>
    <w:rsid w:val="004800DD"/>
    <w:rsid w:val="004F1F3A"/>
    <w:rsid w:val="00510894"/>
    <w:rsid w:val="005139DB"/>
    <w:rsid w:val="005579FA"/>
    <w:rsid w:val="005900B8"/>
    <w:rsid w:val="005C0FD8"/>
    <w:rsid w:val="005C4FD8"/>
    <w:rsid w:val="006408E5"/>
    <w:rsid w:val="00691A6A"/>
    <w:rsid w:val="006A0C12"/>
    <w:rsid w:val="006C39B1"/>
    <w:rsid w:val="00765C6A"/>
    <w:rsid w:val="00770F40"/>
    <w:rsid w:val="008149F0"/>
    <w:rsid w:val="008A01DA"/>
    <w:rsid w:val="008C0B3C"/>
    <w:rsid w:val="009776AE"/>
    <w:rsid w:val="00A03F77"/>
    <w:rsid w:val="00A31099"/>
    <w:rsid w:val="00A84B28"/>
    <w:rsid w:val="00AB28AC"/>
    <w:rsid w:val="00B43B40"/>
    <w:rsid w:val="00C9222F"/>
    <w:rsid w:val="00CA2560"/>
    <w:rsid w:val="00CB721F"/>
    <w:rsid w:val="00CC5FE7"/>
    <w:rsid w:val="00CF2E3D"/>
    <w:rsid w:val="00D74D10"/>
    <w:rsid w:val="00DB7EE7"/>
    <w:rsid w:val="00DD7902"/>
    <w:rsid w:val="00DE5606"/>
    <w:rsid w:val="00E03DA9"/>
    <w:rsid w:val="00E64114"/>
    <w:rsid w:val="00EE2B54"/>
    <w:rsid w:val="00F62A51"/>
    <w:rsid w:val="00F6407B"/>
    <w:rsid w:val="00F85F1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76AE"/>
    <w:pPr>
      <w:tabs>
        <w:tab w:val="center" w:pos="4419"/>
        <w:tab w:val="right" w:pos="8838"/>
      </w:tabs>
      <w:spacing w:after="0" w:line="240" w:lineRule="auto"/>
      <w:jc w:val="both"/>
    </w:pPr>
    <w:rPr>
      <w:rFonts w:ascii="Cambria" w:eastAsia="Calibri" w:hAnsi="Cambria" w:cs="Times New Roman"/>
    </w:rPr>
  </w:style>
  <w:style w:type="character" w:customStyle="1" w:styleId="EncabezadoCar">
    <w:name w:val="Encabezado Car"/>
    <w:basedOn w:val="Fuentedeprrafopredeter"/>
    <w:link w:val="Encabezado"/>
    <w:uiPriority w:val="99"/>
    <w:rsid w:val="009776AE"/>
    <w:rPr>
      <w:rFonts w:ascii="Cambria" w:eastAsia="Calibri" w:hAnsi="Cambria" w:cs="Times New Roman"/>
    </w:rPr>
  </w:style>
  <w:style w:type="paragraph" w:styleId="Piedepgina">
    <w:name w:val="footer"/>
    <w:basedOn w:val="Normal"/>
    <w:link w:val="PiedepginaCar"/>
    <w:uiPriority w:val="99"/>
    <w:unhideWhenUsed/>
    <w:rsid w:val="009776AE"/>
    <w:pPr>
      <w:tabs>
        <w:tab w:val="center" w:pos="4419"/>
        <w:tab w:val="right" w:pos="8838"/>
      </w:tabs>
      <w:spacing w:after="0" w:line="240" w:lineRule="auto"/>
      <w:jc w:val="both"/>
    </w:pPr>
    <w:rPr>
      <w:rFonts w:ascii="Cambria" w:eastAsia="Calibri" w:hAnsi="Cambria" w:cs="Times New Roman"/>
    </w:rPr>
  </w:style>
  <w:style w:type="character" w:customStyle="1" w:styleId="PiedepginaCar">
    <w:name w:val="Pie de página Car"/>
    <w:basedOn w:val="Fuentedeprrafopredeter"/>
    <w:link w:val="Piedepgina"/>
    <w:uiPriority w:val="99"/>
    <w:rsid w:val="009776AE"/>
    <w:rPr>
      <w:rFonts w:ascii="Cambria" w:eastAsia="Calibri" w:hAnsi="Cambria" w:cs="Times New Roman"/>
    </w:rPr>
  </w:style>
  <w:style w:type="table" w:styleId="Tablaconcuadrcula">
    <w:name w:val="Table Grid"/>
    <w:basedOn w:val="Tablanormal"/>
    <w:uiPriority w:val="59"/>
    <w:rsid w:val="009776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76AE"/>
    <w:pPr>
      <w:tabs>
        <w:tab w:val="center" w:pos="4419"/>
        <w:tab w:val="right" w:pos="8838"/>
      </w:tabs>
      <w:spacing w:after="0" w:line="240" w:lineRule="auto"/>
      <w:jc w:val="both"/>
    </w:pPr>
    <w:rPr>
      <w:rFonts w:ascii="Cambria" w:eastAsia="Calibri" w:hAnsi="Cambria" w:cs="Times New Roman"/>
    </w:rPr>
  </w:style>
  <w:style w:type="character" w:customStyle="1" w:styleId="EncabezadoCar">
    <w:name w:val="Encabezado Car"/>
    <w:basedOn w:val="Fuentedeprrafopredeter"/>
    <w:link w:val="Encabezado"/>
    <w:uiPriority w:val="99"/>
    <w:rsid w:val="009776AE"/>
    <w:rPr>
      <w:rFonts w:ascii="Cambria" w:eastAsia="Calibri" w:hAnsi="Cambria" w:cs="Times New Roman"/>
    </w:rPr>
  </w:style>
  <w:style w:type="paragraph" w:styleId="Piedepgina">
    <w:name w:val="footer"/>
    <w:basedOn w:val="Normal"/>
    <w:link w:val="PiedepginaCar"/>
    <w:uiPriority w:val="99"/>
    <w:unhideWhenUsed/>
    <w:rsid w:val="009776AE"/>
    <w:pPr>
      <w:tabs>
        <w:tab w:val="center" w:pos="4419"/>
        <w:tab w:val="right" w:pos="8838"/>
      </w:tabs>
      <w:spacing w:after="0" w:line="240" w:lineRule="auto"/>
      <w:jc w:val="both"/>
    </w:pPr>
    <w:rPr>
      <w:rFonts w:ascii="Cambria" w:eastAsia="Calibri" w:hAnsi="Cambria" w:cs="Times New Roman"/>
    </w:rPr>
  </w:style>
  <w:style w:type="character" w:customStyle="1" w:styleId="PiedepginaCar">
    <w:name w:val="Pie de página Car"/>
    <w:basedOn w:val="Fuentedeprrafopredeter"/>
    <w:link w:val="Piedepgina"/>
    <w:uiPriority w:val="99"/>
    <w:rsid w:val="009776AE"/>
    <w:rPr>
      <w:rFonts w:ascii="Cambria" w:eastAsia="Calibri" w:hAnsi="Cambria" w:cs="Times New Roman"/>
    </w:rPr>
  </w:style>
  <w:style w:type="table" w:styleId="Tablaconcuadrcula">
    <w:name w:val="Table Grid"/>
    <w:basedOn w:val="Tablanormal"/>
    <w:uiPriority w:val="59"/>
    <w:rsid w:val="009776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989862">
      <w:bodyDiv w:val="1"/>
      <w:marLeft w:val="0"/>
      <w:marRight w:val="0"/>
      <w:marTop w:val="0"/>
      <w:marBottom w:val="0"/>
      <w:divBdr>
        <w:top w:val="none" w:sz="0" w:space="0" w:color="auto"/>
        <w:left w:val="none" w:sz="0" w:space="0" w:color="auto"/>
        <w:bottom w:val="none" w:sz="0" w:space="0" w:color="auto"/>
        <w:right w:val="none" w:sz="0" w:space="0" w:color="auto"/>
      </w:divBdr>
    </w:div>
    <w:div w:id="169974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956</Words>
  <Characters>5258</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Mireya Hernández Monter</dc:creator>
  <cp:lastModifiedBy>Mireya Hernández Monter</cp:lastModifiedBy>
  <cp:revision>2</cp:revision>
  <dcterms:created xsi:type="dcterms:W3CDTF">2017-10-23T18:37:00Z</dcterms:created>
  <dcterms:modified xsi:type="dcterms:W3CDTF">2017-10-23T23:22:00Z</dcterms:modified>
</cp:coreProperties>
</file>